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header1.xml" ContentType="application/vnd.openxmlformats-officedocument.wordprocessingml.header+xml"/>
  <Override PartName="/word/footer3.xml" ContentType="application/vnd.openxmlformats-officedocument.wordprocessingml.foot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47.jpeg" ContentType="image/jpe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footer4.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_rels/item4.xml.rels" ContentType="application/vnd.openxmlformats-package.relationships+xml"/>
  <Override PartName="/customXml/itemProps2.xml" ContentType="application/vnd.openxmlformats-officedocument.customXmlProperties+xml"/>
  <Override PartName="/customXml/item3.xml" ContentType="application/xml"/>
  <Override PartName="/customXml/itemProps3.xml" ContentType="application/vnd.openxmlformats-officedocument.customXmlProperties+xml"/>
  <Override PartName="/customXml/item4.xml" ContentType="application/xml"/>
  <Override PartName="/customXml/itemProps4.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rPr>
          <w:b/>
          <w:b/>
          <w:sz w:val="18"/>
          <w:szCs w:val="18"/>
          <w:lang w:val="en-US"/>
        </w:rPr>
      </w:pPr>
      <w:r>
        <w:rPr>
          <w:b/>
          <w:sz w:val="18"/>
          <w:szCs w:val="18"/>
          <w:lang w:val="en-US"/>
        </w:rPr>
      </w:r>
    </w:p>
    <w:p>
      <w:pPr>
        <w:pStyle w:val="Normal"/>
        <w:jc w:val="center"/>
        <w:rPr>
          <w:b/>
          <w:b/>
          <w:sz w:val="28"/>
          <w:szCs w:val="28"/>
          <w:lang w:val="uk-UA"/>
        </w:rPr>
      </w:pPr>
      <w:r>
        <w:rPr>
          <w:b/>
          <w:sz w:val="28"/>
          <w:szCs w:val="28"/>
          <w:lang w:val="uk-UA"/>
        </w:rPr>
        <w:t>Щорічний Звіт</w:t>
      </w:r>
    </w:p>
    <w:p>
      <w:pPr>
        <w:pStyle w:val="Normal"/>
        <w:jc w:val="center"/>
        <w:rPr>
          <w:b/>
          <w:b/>
          <w:sz w:val="28"/>
          <w:szCs w:val="28"/>
          <w:lang w:val="uk-UA"/>
        </w:rPr>
      </w:pPr>
      <w:r>
        <w:rPr>
          <w:b/>
          <w:sz w:val="28"/>
          <w:szCs w:val="28"/>
          <w:lang w:val="uk-UA"/>
        </w:rPr>
        <w:t>щодо Екологічної та Соціальної Політики</w:t>
      </w:r>
    </w:p>
    <w:p>
      <w:pPr>
        <w:pStyle w:val="Normal"/>
        <w:jc w:val="center"/>
        <w:rPr>
          <w:sz w:val="18"/>
          <w:szCs w:val="18"/>
          <w:lang w:val="uk-UA"/>
        </w:rPr>
      </w:pPr>
      <w:r>
        <w:rPr>
          <w:b/>
          <w:sz w:val="28"/>
          <w:szCs w:val="28"/>
          <w:lang w:val="uk-UA"/>
        </w:rPr>
        <w:t>для Європейського банку реконструкції та розвитку</w:t>
      </w:r>
    </w:p>
    <w:p>
      <w:pPr>
        <w:pStyle w:val="Normal"/>
        <w:rPr>
          <w:sz w:val="18"/>
          <w:szCs w:val="18"/>
          <w:lang w:val="uk-UA"/>
        </w:rPr>
      </w:pPr>
      <w:r>
        <w:rPr>
          <w:sz w:val="18"/>
          <w:szCs w:val="18"/>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color="auto" w:fill="000000" w:val="clear"/>
          </w:tcPr>
          <w:p>
            <w:pPr>
              <w:pStyle w:val="Normal"/>
              <w:rPr/>
            </w:pPr>
            <w:r>
              <w:rPr>
                <w:b/>
                <w:bCs/>
                <w:sz w:val="22"/>
                <w:szCs w:val="22"/>
                <w:lang w:val="uk-UA"/>
              </w:rPr>
              <w:t>1. Інформація про Підприємство</w:t>
            </w:r>
          </w:p>
        </w:tc>
      </w:tr>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rPr/>
            </w:pPr>
            <w:r>
              <w:rPr>
                <w:b/>
                <w:sz w:val="22"/>
                <w:szCs w:val="22"/>
                <w:lang w:val="uk-UA"/>
              </w:rPr>
              <w:t>Назва: Комунальне підприємство «Тернопільелектротранс» (КП «ТЕТ»)</w:t>
            </w:r>
          </w:p>
        </w:tc>
      </w:tr>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rPr/>
            </w:pPr>
            <w:r>
              <w:rPr>
                <w:b/>
                <w:sz w:val="22"/>
                <w:szCs w:val="22"/>
                <w:lang w:val="uk-UA"/>
              </w:rPr>
              <w:t>Адреса: вул. Тролейбусна, 7</w:t>
            </w:r>
          </w:p>
        </w:tc>
      </w:tr>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rPr/>
            </w:pPr>
            <w:r>
              <w:rPr>
                <w:b/>
                <w:sz w:val="22"/>
                <w:szCs w:val="22"/>
                <w:lang w:val="uk-UA"/>
              </w:rPr>
              <w:t>Країна: Україна</w:t>
            </w:r>
          </w:p>
        </w:tc>
      </w:tr>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ind w:right="-25" w:hanging="0"/>
              <w:rPr/>
            </w:pPr>
            <w:r>
              <w:rPr>
                <w:b/>
                <w:sz w:val="22"/>
                <w:szCs w:val="22"/>
                <w:lang w:val="uk-UA"/>
              </w:rPr>
              <w:t>Місто: Тернопіль</w:t>
            </w:r>
          </w:p>
        </w:tc>
      </w:tr>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b/>
                <w:sz w:val="22"/>
                <w:szCs w:val="22"/>
                <w:highlight w:val="white"/>
                <w:lang w:val="uk-UA"/>
              </w:rPr>
              <w:t>Уповноважений представник Підприємства:</w:t>
            </w:r>
          </w:p>
          <w:p>
            <w:pPr>
              <w:pStyle w:val="Normal"/>
              <w:jc w:val="both"/>
              <w:rPr>
                <w:sz w:val="22"/>
                <w:szCs w:val="22"/>
                <w:lang w:val="uk-UA"/>
              </w:rPr>
            </w:pPr>
            <w:r>
              <w:rPr>
                <w:sz w:val="22"/>
                <w:szCs w:val="22"/>
                <w:lang w:val="uk-UA"/>
              </w:rPr>
              <w:t>Цим я підтверджую, що інформація надана в даному звіті є точною та повністю відповідає даним за звітний період.</w:t>
            </w:r>
          </w:p>
          <w:p>
            <w:pPr>
              <w:pStyle w:val="Normal"/>
              <w:jc w:val="both"/>
              <w:rPr/>
            </w:pPr>
            <w:r>
              <w:rPr>
                <w:sz w:val="22"/>
                <w:szCs w:val="22"/>
                <w:highlight w:val="white"/>
                <w:lang w:val="uk-UA"/>
              </w:rPr>
              <w:t xml:space="preserve">Підпис:    </w:t>
            </w:r>
            <w:r>
              <w:rPr>
                <w:sz w:val="22"/>
                <w:szCs w:val="22"/>
                <w:lang w:val="uk-UA"/>
              </w:rPr>
              <w:t xml:space="preserve">                          /</w:t>
            </w:r>
            <w:r>
              <w:rPr>
                <w:sz w:val="22"/>
                <w:szCs w:val="22"/>
                <w:lang w:val="uk-UA"/>
              </w:rPr>
              <w:t>Світлана ГІЛЬТАЙ</w:t>
            </w:r>
            <w:r>
              <w:rPr>
                <w:sz w:val="22"/>
                <w:szCs w:val="22"/>
                <w:lang w:val="uk-UA"/>
              </w:rPr>
              <w:t xml:space="preserve">/                           </w:t>
            </w:r>
            <w:r>
              <w:rPr>
                <w:sz w:val="22"/>
                <w:szCs w:val="22"/>
                <w:highlight w:val="white"/>
                <w:lang w:val="uk-UA"/>
              </w:rPr>
              <w:t xml:space="preserve">                  Дата:</w:t>
            </w:r>
            <w:r>
              <w:rPr>
                <w:sz w:val="22"/>
                <w:szCs w:val="22"/>
                <w:highlight w:val="white"/>
                <w:lang w:val="en-US"/>
              </w:rPr>
              <w:t xml:space="preserve"> </w:t>
            </w:r>
            <w:r>
              <w:rPr>
                <w:sz w:val="22"/>
                <w:szCs w:val="22"/>
                <w:highlight w:val="white"/>
                <w:lang w:val="en-US"/>
              </w:rPr>
              <w:t>30</w:t>
            </w:r>
            <w:r>
              <w:rPr>
                <w:sz w:val="22"/>
                <w:szCs w:val="22"/>
                <w:highlight w:val="white"/>
                <w:lang w:val="uk-UA"/>
              </w:rPr>
              <w:t xml:space="preserve">  </w:t>
            </w:r>
            <w:r>
              <w:rPr>
                <w:sz w:val="22"/>
                <w:szCs w:val="22"/>
                <w:highlight w:val="white"/>
                <w:lang w:val="uk-UA"/>
              </w:rPr>
              <w:t>червня</w:t>
            </w:r>
            <w:r>
              <w:rPr>
                <w:sz w:val="22"/>
                <w:szCs w:val="22"/>
                <w:highlight w:val="white"/>
                <w:lang w:val="uk-UA"/>
              </w:rPr>
              <w:t xml:space="preserve"> 2025</w:t>
            </w:r>
            <w:r>
              <w:rPr>
                <w:sz w:val="22"/>
                <w:szCs w:val="22"/>
                <w:lang w:val="uk-UA"/>
              </w:rPr>
              <w:t xml:space="preserve"> р.</w:t>
            </w:r>
          </w:p>
          <w:p>
            <w:pPr>
              <w:pStyle w:val="Normal"/>
              <w:jc w:val="both"/>
              <w:rPr>
                <w:highlight w:val="white"/>
              </w:rPr>
            </w:pPr>
            <w:r>
              <w:rPr>
                <w:sz w:val="22"/>
                <w:szCs w:val="22"/>
                <w:highlight w:val="white"/>
                <w:lang w:val="uk-UA"/>
              </w:rPr>
              <w:t xml:space="preserve">Посада:     </w:t>
            </w:r>
            <w:r>
              <w:rPr>
                <w:b/>
                <w:sz w:val="22"/>
                <w:szCs w:val="22"/>
                <w:highlight w:val="white"/>
                <w:lang w:val="uk-UA"/>
              </w:rPr>
              <w:t xml:space="preserve">головний бухгалтер </w:t>
            </w:r>
          </w:p>
          <w:p>
            <w:pPr>
              <w:pStyle w:val="Normal"/>
              <w:jc w:val="both"/>
              <w:rPr>
                <w:sz w:val="22"/>
                <w:szCs w:val="22"/>
                <w:lang w:val="uk-UA"/>
              </w:rPr>
            </w:pPr>
            <w:r>
              <w:rPr>
                <w:b/>
                <w:sz w:val="22"/>
                <w:szCs w:val="22"/>
                <w:lang w:val="uk-UA"/>
              </w:rPr>
              <w:t>Контактна інформація</w:t>
            </w:r>
          </w:p>
          <w:p>
            <w:pPr>
              <w:pStyle w:val="Normal"/>
              <w:jc w:val="both"/>
              <w:rPr>
                <w:highlight w:val="white"/>
              </w:rPr>
            </w:pPr>
            <w:r>
              <w:rPr>
                <w:sz w:val="22"/>
                <w:szCs w:val="22"/>
                <w:highlight w:val="white"/>
                <w:lang w:val="uk-UA"/>
              </w:rPr>
              <w:t xml:space="preserve">Телефон: </w:t>
            </w:r>
            <w:r>
              <w:rPr>
                <w:sz w:val="22"/>
                <w:szCs w:val="22"/>
                <w:lang w:val="en-US"/>
              </w:rPr>
              <w:t>0972621238</w:t>
            </w:r>
          </w:p>
          <w:p>
            <w:pPr>
              <w:pStyle w:val="Normal"/>
              <w:jc w:val="both"/>
              <w:rPr>
                <w:highlight w:val="white"/>
              </w:rPr>
            </w:pPr>
            <w:r>
              <w:rPr>
                <w:sz w:val="22"/>
                <w:szCs w:val="22"/>
                <w:highlight w:val="white"/>
                <w:lang w:val="uk-UA"/>
              </w:rPr>
              <w:t xml:space="preserve">Ел. пошта: </w:t>
            </w:r>
            <w:r>
              <w:rPr>
                <w:sz w:val="22"/>
                <w:szCs w:val="22"/>
                <w:highlight w:val="white"/>
                <w:lang w:val="en-US"/>
              </w:rPr>
              <w:t>ternotet01@meta.ua</w:t>
            </w:r>
          </w:p>
        </w:tc>
      </w:tr>
    </w:tbl>
    <w:p>
      <w:pPr>
        <w:pStyle w:val="Normal"/>
        <w:rPr>
          <w:sz w:val="18"/>
          <w:szCs w:val="18"/>
          <w:lang w:val="uk-UA"/>
        </w:rPr>
      </w:pPr>
      <w:r>
        <w:rPr>
          <w:sz w:val="18"/>
          <w:szCs w:val="18"/>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pPr>
            <w:r>
              <w:rPr>
                <w:b/>
                <w:sz w:val="22"/>
                <w:szCs w:val="22"/>
                <w:lang w:val="uk-UA"/>
              </w:rPr>
              <w:t>Звітний Період:</w:t>
            </w:r>
            <w:r>
              <w:rPr>
                <w:b/>
                <w:sz w:val="22"/>
                <w:szCs w:val="22"/>
                <w:highlight w:val="white"/>
                <w:lang w:val="uk-UA"/>
              </w:rPr>
              <w:t xml:space="preserve"> </w:t>
            </w:r>
            <w:r>
              <w:rPr>
                <w:b/>
                <w:sz w:val="22"/>
                <w:szCs w:val="22"/>
                <w:u w:val="single"/>
                <w:shd w:fill="FFFFFF" w:val="clear"/>
                <w:lang w:val="uk-UA"/>
              </w:rPr>
              <w:t>з 10.12.2024 по 31.12.2024</w:t>
            </w:r>
            <w:r>
              <w:rPr>
                <w:rStyle w:val="Style12"/>
                <w:b/>
                <w:sz w:val="22"/>
                <w:szCs w:val="22"/>
                <w:u w:val="single"/>
                <w:shd w:fill="FFFFFF" w:val="clear"/>
                <w:lang w:val="uk-UA"/>
              </w:rPr>
              <w:footnoteReference w:id="2"/>
            </w:r>
            <w:r>
              <w:rPr>
                <w:b/>
                <w:sz w:val="22"/>
                <w:szCs w:val="22"/>
                <w:highlight w:val="white"/>
                <w:lang w:val="uk-UA"/>
              </w:rPr>
              <w:t xml:space="preserve"> </w:t>
            </w:r>
          </w:p>
        </w:tc>
      </w:tr>
    </w:tbl>
    <w:p>
      <w:pPr>
        <w:pStyle w:val="Normal"/>
        <w:jc w:val="both"/>
        <w:rPr>
          <w:sz w:val="18"/>
          <w:szCs w:val="18"/>
          <w:lang w:val="uk-UA"/>
        </w:rPr>
      </w:pPr>
      <w:r>
        <w:rPr>
          <w:sz w:val="18"/>
          <w:szCs w:val="18"/>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3467"/>
        <w:gridCol w:w="1424"/>
        <w:gridCol w:w="4747"/>
      </w:tblGrid>
      <w:tr>
        <w:trPr/>
        <w:tc>
          <w:tcPr>
            <w:tcW w:w="3467" w:type="dxa"/>
            <w:tcBorders>
              <w:top w:val="single" w:sz="4" w:space="0" w:color="000000"/>
              <w:left w:val="single" w:sz="4" w:space="0" w:color="000000"/>
              <w:bottom w:val="single" w:sz="4" w:space="0" w:color="000000"/>
            </w:tcBorders>
            <w:shd w:color="auto" w:fill="000000" w:val="clear"/>
          </w:tcPr>
          <w:p>
            <w:pPr>
              <w:pStyle w:val="Normal"/>
              <w:ind w:left="-851" w:firstLine="851"/>
              <w:jc w:val="both"/>
              <w:rPr>
                <w:bCs/>
                <w:sz w:val="18"/>
                <w:szCs w:val="18"/>
                <w:lang w:val="uk-UA"/>
              </w:rPr>
            </w:pPr>
            <w:r>
              <w:rPr>
                <w:b/>
                <w:bCs/>
                <w:lang w:val="uk-UA"/>
              </w:rPr>
              <w:t>2. Загальна інформація</w:t>
            </w:r>
          </w:p>
        </w:tc>
        <w:tc>
          <w:tcPr>
            <w:tcW w:w="1424" w:type="dxa"/>
            <w:tcBorders>
              <w:top w:val="single" w:sz="4" w:space="0" w:color="000000"/>
              <w:left w:val="single" w:sz="4" w:space="0" w:color="000000"/>
              <w:bottom w:val="single" w:sz="4" w:space="0" w:color="000000"/>
            </w:tcBorders>
            <w:shd w:color="auto" w:fill="000000" w:val="clear"/>
          </w:tcPr>
          <w:p>
            <w:pPr>
              <w:pStyle w:val="Normal"/>
              <w:snapToGrid w:val="false"/>
              <w:ind w:left="-851" w:firstLine="851"/>
              <w:jc w:val="both"/>
              <w:rPr>
                <w:bCs/>
                <w:sz w:val="18"/>
                <w:szCs w:val="18"/>
                <w:lang w:val="uk-UA"/>
              </w:rPr>
            </w:pPr>
            <w:r>
              <w:rPr>
                <w:bCs/>
                <w:sz w:val="18"/>
                <w:szCs w:val="18"/>
                <w:lang w:val="uk-UA"/>
              </w:rPr>
            </w:r>
          </w:p>
        </w:tc>
        <w:tc>
          <w:tcPr>
            <w:tcW w:w="4747" w:type="dxa"/>
            <w:tcBorders>
              <w:top w:val="single" w:sz="4" w:space="0" w:color="000000"/>
              <w:left w:val="single" w:sz="4" w:space="0" w:color="000000"/>
              <w:bottom w:val="single" w:sz="4" w:space="0" w:color="000000"/>
              <w:right w:val="single" w:sz="4" w:space="0" w:color="000000"/>
            </w:tcBorders>
            <w:shd w:color="auto" w:fill="000000" w:val="clear"/>
          </w:tcPr>
          <w:p>
            <w:pPr>
              <w:pStyle w:val="Normal"/>
              <w:snapToGrid w:val="false"/>
              <w:ind w:left="-851" w:firstLine="851"/>
              <w:jc w:val="both"/>
              <w:rPr>
                <w:bCs/>
                <w:sz w:val="18"/>
                <w:szCs w:val="18"/>
                <w:lang w:val="uk-UA"/>
              </w:rPr>
            </w:pPr>
            <w:r>
              <w:rPr>
                <w:bCs/>
                <w:sz w:val="18"/>
                <w:szCs w:val="18"/>
                <w:lang w:val="uk-UA"/>
              </w:rPr>
            </w:r>
          </w:p>
        </w:tc>
      </w:tr>
      <w:tr>
        <w:trPr/>
        <w:tc>
          <w:tcPr>
            <w:tcW w:w="3467" w:type="dxa"/>
            <w:tcBorders>
              <w:top w:val="single" w:sz="4" w:space="0" w:color="000000"/>
              <w:left w:val="single" w:sz="4" w:space="0" w:color="000000"/>
              <w:bottom w:val="single" w:sz="4" w:space="0" w:color="000000"/>
            </w:tcBorders>
            <w:shd w:fill="auto" w:val="clear"/>
          </w:tcPr>
          <w:p>
            <w:pPr>
              <w:pStyle w:val="Normal"/>
              <w:jc w:val="both"/>
              <w:rPr>
                <w:sz w:val="22"/>
                <w:szCs w:val="22"/>
                <w:lang w:val="uk-UA"/>
              </w:rPr>
            </w:pPr>
            <w:r>
              <w:rPr>
                <w:sz w:val="22"/>
                <w:szCs w:val="22"/>
                <w:lang w:val="uk-UA"/>
              </w:rPr>
              <w:t xml:space="preserve">Чи відповідає проект основним </w:t>
            </w:r>
            <w:r>
              <w:rPr>
                <w:i/>
                <w:sz w:val="22"/>
                <w:szCs w:val="22"/>
                <w:lang w:val="uk-UA"/>
              </w:rPr>
              <w:t>Нормам та правилам виконання робіт ЄБРР</w:t>
            </w:r>
            <w:r>
              <w:rPr>
                <w:sz w:val="22"/>
                <w:szCs w:val="22"/>
                <w:lang w:val="uk-UA"/>
              </w:rPr>
              <w:t xml:space="preserve"> (такі як: узгоджені плани проведення робіт, певні пільги або</w:t>
            </w:r>
            <w:r>
              <w:rPr>
                <w:i/>
                <w:sz w:val="22"/>
                <w:szCs w:val="22"/>
                <w:lang w:val="uk-UA"/>
              </w:rPr>
              <w:t xml:space="preserve"> </w:t>
            </w:r>
            <w:r>
              <w:rPr>
                <w:sz w:val="22"/>
                <w:szCs w:val="22"/>
                <w:lang w:val="uk-UA"/>
              </w:rPr>
              <w:t>обмеження)?</w:t>
            </w:r>
          </w:p>
        </w:tc>
        <w:tc>
          <w:tcPr>
            <w:tcW w:w="1424" w:type="dxa"/>
            <w:tcBorders>
              <w:top w:val="single" w:sz="4" w:space="0" w:color="000000"/>
              <w:left w:val="single" w:sz="4" w:space="0" w:color="000000"/>
              <w:bottom w:val="single" w:sz="4" w:space="0" w:color="000000"/>
            </w:tcBorders>
            <w:shd w:fill="auto" w:val="clear"/>
          </w:tcPr>
          <w:p>
            <w:pPr>
              <w:pStyle w:val="Normal"/>
              <w:jc w:val="center"/>
              <w:rPr>
                <w:sz w:val="22"/>
                <w:szCs w:val="22"/>
                <w:lang w:val="uk-UA"/>
              </w:rPr>
            </w:pPr>
            <w:r>
              <w:rPr>
                <w:sz w:val="22"/>
                <w:szCs w:val="22"/>
                <w:lang w:val="uk-UA"/>
              </w:rPr>
              <w:t>так</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sz w:val="22"/>
                <w:szCs w:val="22"/>
                <w:lang w:val="uk-UA"/>
              </w:rPr>
            </w:pPr>
            <w:r>
              <w:rPr>
                <w:sz w:val="22"/>
                <w:szCs w:val="22"/>
                <w:lang w:val="uk-UA"/>
              </w:rPr>
              <w:t xml:space="preserve">Проєкт має екологічну категорію «B» відповідно до політики ЄБРР в галузі охорони довкілля та соціального захисту, що передбачає його позитивний вплив на зменшення забруднення повітря та викидів парникових газів. </w:t>
            </w:r>
          </w:p>
          <w:p>
            <w:pPr>
              <w:pStyle w:val="Normal"/>
              <w:jc w:val="both"/>
              <w:rPr/>
            </w:pPr>
            <w:r>
              <w:rPr>
                <w:sz w:val="22"/>
                <w:szCs w:val="22"/>
                <w:lang w:val="uk-UA"/>
              </w:rPr>
              <w:t xml:space="preserve">Очікується, що після повного впровадження проєкту щорічні скорочення викидів CO₂ становитимуть близько 7 570 тонн еквіваленту CO₂. Також проєкт підтримує впровадження принципів інклюзивності та енергетичної ефективності в транспортному секторі міста </w:t>
            </w:r>
          </w:p>
        </w:tc>
      </w:tr>
      <w:tr>
        <w:trPr/>
        <w:tc>
          <w:tcPr>
            <w:tcW w:w="3467" w:type="dxa"/>
            <w:tcBorders>
              <w:top w:val="single" w:sz="4" w:space="0" w:color="000000"/>
              <w:left w:val="single" w:sz="4" w:space="0" w:color="000000"/>
              <w:bottom w:val="single" w:sz="4" w:space="0" w:color="000000"/>
            </w:tcBorders>
            <w:shd w:fill="auto" w:val="clear"/>
          </w:tcPr>
          <w:p>
            <w:pPr>
              <w:pStyle w:val="Normal"/>
              <w:jc w:val="both"/>
              <w:rPr>
                <w:sz w:val="22"/>
                <w:szCs w:val="22"/>
                <w:lang w:val="uk-UA"/>
              </w:rPr>
            </w:pPr>
            <w:r>
              <w:rPr>
                <w:sz w:val="22"/>
                <w:szCs w:val="22"/>
                <w:lang w:val="uk-UA"/>
              </w:rPr>
              <w:t>Чи відповідає проект основним екологічним та соціальним законам і вимогам?</w:t>
            </w:r>
          </w:p>
        </w:tc>
        <w:tc>
          <w:tcPr>
            <w:tcW w:w="1424" w:type="dxa"/>
            <w:tcBorders>
              <w:top w:val="single" w:sz="4" w:space="0" w:color="000000"/>
              <w:left w:val="single" w:sz="4" w:space="0" w:color="000000"/>
              <w:bottom w:val="single" w:sz="4" w:space="0" w:color="000000"/>
            </w:tcBorders>
            <w:shd w:fill="auto" w:val="clear"/>
          </w:tcPr>
          <w:p>
            <w:pPr>
              <w:pStyle w:val="Normal"/>
              <w:jc w:val="center"/>
              <w:rPr>
                <w:sz w:val="22"/>
                <w:szCs w:val="22"/>
                <w:lang w:val="uk-UA"/>
              </w:rPr>
            </w:pPr>
            <w:r>
              <w:rPr>
                <w:sz w:val="22"/>
                <w:szCs w:val="22"/>
                <w:lang w:val="uk-UA"/>
              </w:rPr>
              <w:t>так</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pPr>
            <w:r>
              <w:rPr>
                <w:sz w:val="22"/>
                <w:szCs w:val="22"/>
                <w:lang w:val="uk-UA"/>
              </w:rPr>
              <w:t>План екологічних, соціальних та гендерних заходів КП «ТЕТ» (ESAP), пов’язаних із модернізацією системи муніципального електричного транспорту, підготовлений згідно із відповідною документацією ЄБРР, зокрема Екологічною та соціальною політикою ЄБРР (2019 р.) і вимогами до реалізації проєктів, чинними на момент їх ухвалення (Додаток 1)</w:t>
            </w:r>
          </w:p>
        </w:tc>
      </w:tr>
      <w:tr>
        <w:trPr/>
        <w:tc>
          <w:tcPr>
            <w:tcW w:w="3467" w:type="dxa"/>
            <w:tcBorders>
              <w:top w:val="single" w:sz="4" w:space="0" w:color="000000"/>
              <w:left w:val="single" w:sz="4" w:space="0" w:color="000000"/>
              <w:bottom w:val="single" w:sz="4" w:space="0" w:color="000000"/>
            </w:tcBorders>
            <w:shd w:fill="auto" w:val="clear"/>
          </w:tcPr>
          <w:p>
            <w:pPr>
              <w:pStyle w:val="Normal"/>
              <w:rPr/>
            </w:pPr>
            <w:r>
              <w:rPr>
                <w:sz w:val="22"/>
                <w:szCs w:val="22"/>
                <w:lang w:val="uk-UA"/>
              </w:rPr>
              <w:t>Чи траплялись будь-які аварії, екологічні або соціальні інциденти, які призвели до пошкоджень, поранень або нещасних випадків, а також зашкодили працівникам Підприємства чи місцевій громаді, культурним цінностям або призвели до певних зобов’язань Підприємства?</w:t>
            </w:r>
          </w:p>
        </w:tc>
        <w:tc>
          <w:tcPr>
            <w:tcW w:w="1424" w:type="dxa"/>
            <w:tcBorders>
              <w:top w:val="single" w:sz="4" w:space="0" w:color="000000"/>
              <w:left w:val="single" w:sz="4" w:space="0" w:color="000000"/>
              <w:bottom w:val="single" w:sz="4" w:space="0" w:color="000000"/>
            </w:tcBorders>
            <w:shd w:fill="auto" w:val="clear"/>
          </w:tcPr>
          <w:p>
            <w:pPr>
              <w:pStyle w:val="Normal"/>
              <w:jc w:val="center"/>
              <w:rPr>
                <w:color w:val="000000"/>
                <w:sz w:val="22"/>
                <w:szCs w:val="22"/>
                <w:lang w:val="uk-UA"/>
              </w:rPr>
            </w:pPr>
            <w:r>
              <w:rPr>
                <w:sz w:val="22"/>
                <w:szCs w:val="22"/>
                <w:lang w:val="uk-UA"/>
              </w:rPr>
              <w:t>ні</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color w:val="000000"/>
                <w:sz w:val="22"/>
                <w:szCs w:val="22"/>
                <w:lang w:val="uk-UA"/>
              </w:rPr>
            </w:pPr>
            <w:r>
              <w:rPr>
                <w:color w:val="000000"/>
                <w:sz w:val="22"/>
                <w:szCs w:val="22"/>
                <w:lang w:val="uk-UA"/>
              </w:rPr>
              <w:t xml:space="preserve">КП «ТЕТ» здійснює діяльність у рамках чинного законодавства та міжнародних зобов’язань України, з дотриманням усіх екологічних, санітарних і соціальних норм та нормативів, відповідно до умов Кредитного договору, реалізуючи відповідні заходи </w:t>
            </w:r>
            <w:r>
              <w:rPr>
                <w:sz w:val="22"/>
                <w:szCs w:val="22"/>
                <w:lang w:val="uk-UA"/>
              </w:rPr>
              <w:t>ESAP</w:t>
            </w:r>
            <w:r>
              <w:rPr>
                <w:color w:val="000000"/>
                <w:sz w:val="22"/>
                <w:szCs w:val="22"/>
                <w:lang w:val="uk-UA"/>
              </w:rPr>
              <w:t xml:space="preserve"> у встановлені цільові дати. </w:t>
            </w:r>
          </w:p>
          <w:p>
            <w:pPr>
              <w:pStyle w:val="Normal"/>
              <w:snapToGrid w:val="false"/>
              <w:rPr>
                <w:color w:val="000000"/>
                <w:sz w:val="22"/>
                <w:szCs w:val="22"/>
                <w:lang w:val="uk-UA"/>
              </w:rPr>
            </w:pPr>
            <w:r>
              <w:rPr>
                <w:color w:val="000000"/>
                <w:sz w:val="22"/>
                <w:szCs w:val="22"/>
                <w:lang w:val="uk-UA"/>
              </w:rPr>
              <w:t>За звітний період, а також протягом 2024 р. на території та внаслідок діяльності КП «ТЕТ» не було зафіксовано жодних екологічних, техногенних чи соціальних інцидентів або аварій, які б призвели до пошкоджень, поранень або нещасних випадків серед працівників і місцевої громади, завдали шкоди навколишньому середовищу чи культурним цінностям, або спричинили виникнення додаткових зобов’язань для КП «ТЕТ».</w:t>
            </w:r>
          </w:p>
        </w:tc>
      </w:tr>
      <w:tr>
        <w:trPr>
          <w:trHeight w:val="1296" w:hRule="atLeast"/>
        </w:trPr>
        <w:tc>
          <w:tcPr>
            <w:tcW w:w="3467" w:type="dxa"/>
            <w:tcBorders>
              <w:top w:val="single" w:sz="4" w:space="0" w:color="000000"/>
              <w:left w:val="single" w:sz="4" w:space="0" w:color="000000"/>
              <w:bottom w:val="single" w:sz="4" w:space="0" w:color="000000"/>
            </w:tcBorders>
            <w:shd w:fill="auto" w:val="clear"/>
          </w:tcPr>
          <w:p>
            <w:pPr>
              <w:pStyle w:val="Normal"/>
              <w:jc w:val="both"/>
              <w:rPr>
                <w:lang w:val="uk-UA"/>
              </w:rPr>
            </w:pPr>
            <w:r>
              <w:rPr>
                <w:sz w:val="22"/>
                <w:szCs w:val="22"/>
                <w:lang w:val="uk-UA"/>
              </w:rPr>
              <w:t xml:space="preserve">Чи були внесені будь-які зміни в закони та правила щодо екологічної, соціальної сфери, щодо охорони праці, здоров’я та безпеки, які б мали суттєвий вплив на Підприємство? </w:t>
            </w:r>
          </w:p>
        </w:tc>
        <w:tc>
          <w:tcPr>
            <w:tcW w:w="1424" w:type="dxa"/>
            <w:tcBorders>
              <w:top w:val="single" w:sz="4" w:space="0" w:color="000000"/>
              <w:left w:val="single" w:sz="4" w:space="0" w:color="000000"/>
              <w:bottom w:val="single" w:sz="4" w:space="0" w:color="000000"/>
            </w:tcBorders>
            <w:shd w:fill="auto" w:val="clear"/>
          </w:tcPr>
          <w:p>
            <w:pPr>
              <w:pStyle w:val="Normal"/>
              <w:jc w:val="center"/>
              <w:rPr>
                <w:sz w:val="22"/>
                <w:szCs w:val="22"/>
                <w:lang w:val="uk-UA"/>
              </w:rPr>
            </w:pPr>
            <w:r>
              <w:rPr>
                <w:sz w:val="22"/>
                <w:szCs w:val="22"/>
                <w:lang w:val="uk-UA"/>
              </w:rPr>
              <w:t>ні</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Протягом звітного періоду на загальнодержавному (Україна), регіональному (Тернопільська область), та місцевому (м. Тернопіль) рівнях не було внесено суттєвих змін до законів і правил щодо екологічної, соціальної сфер, стосовно охорони праці, здоров’я та безпеки, які б мали прямий вплив на діяльність Підприємства.</w:t>
            </w:r>
          </w:p>
          <w:p>
            <w:pPr>
              <w:pStyle w:val="Normal"/>
              <w:snapToGrid w:val="false"/>
              <w:rPr>
                <w:sz w:val="22"/>
                <w:szCs w:val="22"/>
                <w:lang w:val="uk-UA"/>
              </w:rPr>
            </w:pPr>
            <w:r>
              <w:rPr>
                <w:sz w:val="22"/>
                <w:szCs w:val="22"/>
                <w:lang w:val="uk-UA"/>
              </w:rPr>
              <w:t>Діяльність КП «ТЕТ» здійснювалася в рамках чинного законодавства України, інших регуляторних актів у відповідній сфері.</w:t>
            </w:r>
          </w:p>
        </w:tc>
      </w:tr>
      <w:tr>
        <w:trPr/>
        <w:tc>
          <w:tcPr>
            <w:tcW w:w="3467"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Скільки перевірок представниками природоохоронних органів відбулось протягом звітного періоду?</w:t>
            </w:r>
          </w:p>
        </w:tc>
        <w:tc>
          <w:tcPr>
            <w:tcW w:w="1424" w:type="dxa"/>
            <w:tcBorders>
              <w:top w:val="single" w:sz="4" w:space="0" w:color="000000"/>
              <w:left w:val="single" w:sz="4" w:space="0" w:color="000000"/>
              <w:bottom w:val="single" w:sz="4" w:space="0" w:color="000000"/>
            </w:tcBorders>
            <w:shd w:fill="auto" w:val="clear"/>
          </w:tcPr>
          <w:p>
            <w:pPr>
              <w:pStyle w:val="Normal"/>
              <w:jc w:val="center"/>
              <w:rPr>
                <w:bCs/>
                <w:color w:val="000000"/>
                <w:sz w:val="22"/>
                <w:szCs w:val="22"/>
                <w:highlight w:val="yellow"/>
                <w:lang w:val="uk-UA"/>
              </w:rPr>
            </w:pPr>
            <w:r>
              <w:rPr>
                <w:sz w:val="22"/>
                <w:szCs w:val="22"/>
                <w:lang w:val="uk-UA"/>
              </w:rPr>
              <w:t>не проводились</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sz w:val="22"/>
                <w:szCs w:val="22"/>
                <w:lang w:val="uk-UA"/>
              </w:rPr>
              <w:t>Відсутність перевірок КП «ТЕТ» обумовлено, насамперед, мораторієм</w:t>
            </w:r>
            <w:r>
              <w:rPr>
                <w:rStyle w:val="Style12"/>
                <w:sz w:val="22"/>
                <w:szCs w:val="22"/>
                <w:lang w:val="uk-UA"/>
              </w:rPr>
              <w:footnoteReference w:id="3"/>
            </w:r>
            <w:r>
              <w:rPr>
                <w:sz w:val="22"/>
                <w:szCs w:val="22"/>
                <w:lang w:val="uk-UA"/>
              </w:rPr>
              <w:t xml:space="preserve"> на проведення планових і позапланових заходів державного нагляду (контролю) на період воєнного стану, введеного Указом Президента України від 24 лютого 2022 р. № 64 «Про введення воєнного стану в Україні». </w:t>
            </w:r>
          </w:p>
          <w:p>
            <w:pPr>
              <w:pStyle w:val="Normal"/>
              <w:rPr>
                <w:sz w:val="22"/>
                <w:szCs w:val="22"/>
                <w:lang w:val="uk-UA"/>
              </w:rPr>
            </w:pPr>
            <w:r>
              <w:rPr>
                <w:sz w:val="22"/>
                <w:szCs w:val="22"/>
                <w:lang w:val="uk-UA"/>
              </w:rPr>
              <w:t>Також щодо КП «ТЕТ» відсутні підстави для позапланової перевірки, які можуть проводитися виключно за наявності визначених Законом України «Про основні засади державного нагляду (контролю) у сфері господарської діяльності» (зокрема, надходження обґрунтованої скарги від фізичної чи юридичної особи про порушення; виявлення порушень, зафіксованих у попередньому звітному періоді; наявність аварії або інциденту (екологічного або техногенного характеру)).</w:t>
            </w:r>
          </w:p>
          <w:p>
            <w:pPr>
              <w:pStyle w:val="Normal"/>
              <w:rPr>
                <w:sz w:val="22"/>
                <w:szCs w:val="22"/>
                <w:lang w:val="uk-UA"/>
              </w:rPr>
            </w:pPr>
            <w:r>
              <w:rPr>
                <w:sz w:val="22"/>
                <w:szCs w:val="22"/>
                <w:lang w:val="uk-UA"/>
              </w:rPr>
              <w:t>Діяльність КП «ТЕТ» має низький ступінь ризику від провадження господарської діяльності, що й визначає значну періодичність проведення планових заходів державного нагляду (контролю) у сфері охорони навколишнього природного середовища, раціонального використання, відтворення і охорони природних ресурсів Державною екологічною інспекцією</w:t>
            </w:r>
            <w:r>
              <w:rPr>
                <w:rStyle w:val="Style12"/>
                <w:sz w:val="22"/>
                <w:szCs w:val="22"/>
                <w:lang w:val="uk-UA"/>
              </w:rPr>
              <w:footnoteReference w:id="4"/>
            </w:r>
          </w:p>
        </w:tc>
      </w:tr>
      <w:tr>
        <w:trPr/>
        <w:tc>
          <w:tcPr>
            <w:tcW w:w="3467"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Скільки перевірок представниками органів охорони праці відбулось протягом звітного періоду?</w:t>
            </w:r>
          </w:p>
        </w:tc>
        <w:tc>
          <w:tcPr>
            <w:tcW w:w="1424" w:type="dxa"/>
            <w:tcBorders>
              <w:top w:val="single" w:sz="4" w:space="0" w:color="000000"/>
              <w:left w:val="single" w:sz="4" w:space="0" w:color="000000"/>
              <w:bottom w:val="single" w:sz="4" w:space="0" w:color="000000"/>
            </w:tcBorders>
            <w:shd w:fill="auto" w:val="clear"/>
          </w:tcPr>
          <w:p>
            <w:pPr>
              <w:pStyle w:val="Normal"/>
              <w:jc w:val="center"/>
              <w:rPr>
                <w:bCs/>
                <w:color w:val="000000"/>
                <w:sz w:val="22"/>
                <w:szCs w:val="22"/>
                <w:lang w:val="uk-UA"/>
              </w:rPr>
            </w:pPr>
            <w:r>
              <w:rPr>
                <w:sz w:val="22"/>
                <w:szCs w:val="22"/>
                <w:lang w:val="uk-UA"/>
              </w:rPr>
              <w:t>1</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bCs/>
                <w:color w:val="000000"/>
                <w:sz w:val="22"/>
                <w:szCs w:val="22"/>
                <w:lang w:val="uk-UA"/>
              </w:rPr>
              <w:t xml:space="preserve">Протягом звітного періоду </w:t>
            </w:r>
            <w:r>
              <w:rPr>
                <w:sz w:val="22"/>
                <w:szCs w:val="22"/>
                <w:lang w:val="uk-UA"/>
              </w:rPr>
              <w:t xml:space="preserve">перевірок представниками органів охорони праці КП «ТЕТ» не відбувалося. </w:t>
            </w:r>
          </w:p>
          <w:p>
            <w:pPr>
              <w:pStyle w:val="Normal"/>
              <w:rPr>
                <w:bCs/>
                <w:color w:val="000000"/>
                <w:sz w:val="22"/>
                <w:szCs w:val="22"/>
                <w:lang w:val="uk-UA"/>
              </w:rPr>
            </w:pPr>
            <w:r>
              <w:rPr>
                <w:bCs/>
                <w:color w:val="000000"/>
                <w:sz w:val="22"/>
                <w:szCs w:val="22"/>
                <w:lang w:val="uk-UA"/>
              </w:rPr>
              <w:t>24.01.2024 мала місце позапланова перевірка дотримання вимог законодавства у сферах охорони праці, промислової безпеки (акт № IIЗ/ТР/755/0050) Південно-Західним міжрегіональним управлінням Державної служби з питань праці (Додаток 2). Перевіркою було виявлено такі порушення вимог законодавства (див. Додаток 2):</w:t>
            </w:r>
          </w:p>
          <w:p>
            <w:pPr>
              <w:pStyle w:val="Normal"/>
              <w:numPr>
                <w:ilvl w:val="0"/>
                <w:numId w:val="1"/>
              </w:numPr>
              <w:ind w:left="327" w:hanging="360"/>
              <w:rPr>
                <w:bCs/>
                <w:color w:val="000000"/>
                <w:sz w:val="22"/>
                <w:szCs w:val="22"/>
                <w:lang w:val="uk-UA"/>
              </w:rPr>
            </w:pPr>
            <w:r>
              <w:rPr>
                <w:bCs/>
                <w:color w:val="000000"/>
                <w:sz w:val="22"/>
                <w:szCs w:val="22"/>
                <w:lang w:val="uk-UA"/>
              </w:rPr>
              <w:t>на робочому місці охоронців не вивішена інструкція з охорони прані;</w:t>
            </w:r>
          </w:p>
          <w:p>
            <w:pPr>
              <w:pStyle w:val="Normal"/>
              <w:numPr>
                <w:ilvl w:val="0"/>
                <w:numId w:val="1"/>
              </w:numPr>
              <w:ind w:left="327" w:hanging="360"/>
              <w:rPr>
                <w:bCs/>
                <w:color w:val="000000"/>
                <w:sz w:val="22"/>
                <w:szCs w:val="22"/>
                <w:lang w:val="uk-UA"/>
              </w:rPr>
            </w:pPr>
            <w:r>
              <w:rPr>
                <w:bCs/>
                <w:color w:val="000000"/>
                <w:sz w:val="22"/>
                <w:szCs w:val="22"/>
                <w:lang w:val="uk-UA"/>
              </w:rPr>
              <w:t>в журналі реєстрації інструктажів з охорони праці на робочому місці в графі 5 не вказано назви інструкцій з охорони праці по яких проводився повторний інструктаж з працівниками;</w:t>
            </w:r>
          </w:p>
          <w:p>
            <w:pPr>
              <w:pStyle w:val="Normal"/>
              <w:numPr>
                <w:ilvl w:val="0"/>
                <w:numId w:val="1"/>
              </w:numPr>
              <w:ind w:left="327" w:hanging="360"/>
              <w:rPr>
                <w:bCs/>
                <w:color w:val="000000"/>
                <w:sz w:val="22"/>
                <w:szCs w:val="22"/>
                <w:lang w:val="uk-UA"/>
              </w:rPr>
            </w:pPr>
            <w:r>
              <w:rPr>
                <w:bCs/>
                <w:color w:val="000000"/>
                <w:sz w:val="22"/>
                <w:szCs w:val="22"/>
                <w:lang w:val="uk-UA"/>
              </w:rPr>
              <w:t>в наказах про прийняття на роботу охоронців не внесено запис про проведення вступного інструктажу);</w:t>
            </w:r>
          </w:p>
          <w:p>
            <w:pPr>
              <w:pStyle w:val="Normal"/>
              <w:numPr>
                <w:ilvl w:val="0"/>
                <w:numId w:val="1"/>
              </w:numPr>
              <w:ind w:left="327" w:hanging="360"/>
              <w:rPr>
                <w:bCs/>
                <w:color w:val="000000"/>
                <w:sz w:val="22"/>
                <w:szCs w:val="22"/>
                <w:lang w:val="uk-UA"/>
              </w:rPr>
            </w:pPr>
            <w:r>
              <w:rPr>
                <w:bCs/>
                <w:color w:val="000000"/>
                <w:sz w:val="22"/>
                <w:szCs w:val="22"/>
                <w:lang w:val="uk-UA"/>
              </w:rPr>
              <w:t>в приміщенні прохідної №1 над розетками не нанесено написи «220 В».</w:t>
            </w:r>
          </w:p>
          <w:p>
            <w:pPr>
              <w:pStyle w:val="Normal"/>
              <w:ind w:left="-33" w:hanging="0"/>
              <w:rPr>
                <w:bCs/>
                <w:color w:val="000000"/>
                <w:sz w:val="22"/>
                <w:szCs w:val="22"/>
                <w:lang w:val="uk-UA"/>
              </w:rPr>
            </w:pPr>
            <w:r>
              <w:rPr>
                <w:bCs/>
                <w:color w:val="000000"/>
                <w:sz w:val="22"/>
                <w:szCs w:val="22"/>
                <w:lang w:val="uk-UA"/>
              </w:rPr>
              <w:t xml:space="preserve">Всі порушення КП «ТЕТ» було швидко усунено, що свідчить про оперативність ухвалення рішень щодо охорони праці, промислової безпеки, відповідно й упровадження необхідних заходів КП «ТЕТ». </w:t>
            </w:r>
          </w:p>
          <w:p>
            <w:pPr>
              <w:pStyle w:val="Normal"/>
              <w:ind w:left="-33" w:hanging="0"/>
              <w:rPr>
                <w:bCs/>
                <w:color w:val="000000"/>
                <w:sz w:val="22"/>
                <w:szCs w:val="22"/>
              </w:rPr>
            </w:pPr>
            <w:r>
              <w:rPr>
                <w:bCs/>
                <w:color w:val="000000"/>
                <w:sz w:val="22"/>
                <w:szCs w:val="22"/>
                <w:lang w:val="uk-UA"/>
              </w:rPr>
              <w:t xml:space="preserve">У подальшому в рамках реалізації </w:t>
            </w:r>
            <w:r>
              <w:rPr>
                <w:bCs/>
                <w:color w:val="000000"/>
                <w:sz w:val="22"/>
                <w:szCs w:val="22"/>
                <w:lang w:val="en-US"/>
              </w:rPr>
              <w:t>ESAP</w:t>
            </w:r>
            <w:r>
              <w:rPr>
                <w:bCs/>
                <w:color w:val="000000"/>
                <w:sz w:val="22"/>
                <w:szCs w:val="22"/>
              </w:rPr>
              <w:t xml:space="preserve"> </w:t>
            </w:r>
            <w:r>
              <w:rPr>
                <w:bCs/>
                <w:color w:val="000000"/>
                <w:sz w:val="22"/>
                <w:szCs w:val="22"/>
                <w:lang w:val="uk-UA"/>
              </w:rPr>
              <w:t>буде вдосконалено існуючу систему управління охороною праці на основі міжнародного стандарту ISO 45001</w:t>
            </w:r>
          </w:p>
        </w:tc>
      </w:tr>
      <w:tr>
        <w:trPr/>
        <w:tc>
          <w:tcPr>
            <w:tcW w:w="3467" w:type="dxa"/>
            <w:tcBorders>
              <w:top w:val="single" w:sz="4" w:space="0" w:color="000000"/>
              <w:left w:val="single" w:sz="4" w:space="0" w:color="000000"/>
              <w:bottom w:val="single" w:sz="4" w:space="0" w:color="000000"/>
            </w:tcBorders>
            <w:shd w:fill="auto" w:val="clear"/>
          </w:tcPr>
          <w:p>
            <w:pPr>
              <w:pStyle w:val="Normal"/>
              <w:rPr>
                <w:sz w:val="22"/>
                <w:szCs w:val="22"/>
                <w:highlight w:val="white"/>
                <w:lang w:val="uk-UA"/>
              </w:rPr>
            </w:pPr>
            <w:r>
              <w:rPr>
                <w:sz w:val="22"/>
                <w:szCs w:val="22"/>
                <w:lang w:val="uk-UA"/>
              </w:rPr>
              <w:t>Скільки перевірок представниками відділу праці та соціального захисту відбулось протягом звітного періоду?</w:t>
            </w:r>
          </w:p>
        </w:tc>
        <w:tc>
          <w:tcPr>
            <w:tcW w:w="1424" w:type="dxa"/>
            <w:tcBorders>
              <w:top w:val="single" w:sz="4" w:space="0" w:color="000000"/>
              <w:left w:val="single" w:sz="4" w:space="0" w:color="000000"/>
              <w:bottom w:val="single" w:sz="4" w:space="0" w:color="000000"/>
            </w:tcBorders>
            <w:shd w:fill="auto" w:val="clear"/>
          </w:tcPr>
          <w:p>
            <w:pPr>
              <w:pStyle w:val="Normal"/>
              <w:jc w:val="center"/>
              <w:rPr>
                <w:bCs/>
                <w:color w:val="000000"/>
                <w:sz w:val="22"/>
                <w:szCs w:val="22"/>
                <w:highlight w:val="yellow"/>
                <w:lang w:val="uk-UA"/>
              </w:rPr>
            </w:pPr>
            <w:r>
              <w:rPr>
                <w:sz w:val="22"/>
                <w:szCs w:val="22"/>
                <w:shd w:fill="FFFFFF" w:val="clear"/>
                <w:lang w:val="uk-UA"/>
              </w:rPr>
              <w:t>0</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sz w:val="22"/>
                <w:szCs w:val="22"/>
                <w:lang w:val="uk-UA"/>
              </w:rPr>
              <w:t>Відсутність перевірок є наслідком стабільної роботи КП «ТЕТ» у соціальній сфері та відсутності зовнішніх чинників, які могли б зумовити нагляд відповідними уповноваженими органами влади.</w:t>
            </w:r>
          </w:p>
          <w:p>
            <w:pPr>
              <w:pStyle w:val="Normal"/>
              <w:rPr>
                <w:sz w:val="22"/>
                <w:szCs w:val="22"/>
                <w:lang w:val="uk-UA"/>
              </w:rPr>
            </w:pPr>
            <w:r>
              <w:rPr>
                <w:sz w:val="22"/>
                <w:szCs w:val="22"/>
                <w:lang w:val="uk-UA"/>
              </w:rPr>
              <w:t>Зокрема, Підприємство не було об’єктом цільових запитів щодо порушення соціальних чи трудових норм, не надходило офіційних звернень чи вимог, які б ініціювали позапланову його перевірку</w:t>
            </w:r>
          </w:p>
        </w:tc>
      </w:tr>
      <w:tr>
        <w:trPr/>
        <w:tc>
          <w:tcPr>
            <w:tcW w:w="3467" w:type="dxa"/>
            <w:tcBorders>
              <w:top w:val="single" w:sz="4" w:space="0" w:color="000000"/>
              <w:left w:val="single" w:sz="4" w:space="0" w:color="000000"/>
              <w:bottom w:val="single" w:sz="4" w:space="0" w:color="000000"/>
            </w:tcBorders>
            <w:shd w:fill="auto" w:val="clear"/>
          </w:tcPr>
          <w:p>
            <w:pPr>
              <w:pStyle w:val="Normal"/>
              <w:jc w:val="both"/>
              <w:rPr>
                <w:sz w:val="20"/>
                <w:szCs w:val="20"/>
              </w:rPr>
            </w:pPr>
            <w:r>
              <w:rPr>
                <w:sz w:val="22"/>
                <w:szCs w:val="22"/>
                <w:lang w:val="uk-UA"/>
              </w:rPr>
              <w:t>Чи було в результаті згаданих перевірок накладено будь-які штрафи, пені та/або запропоновано прийняти певні міри для виправлення порушень?</w:t>
            </w:r>
          </w:p>
        </w:tc>
        <w:tc>
          <w:tcPr>
            <w:tcW w:w="1424" w:type="dxa"/>
            <w:tcBorders>
              <w:top w:val="single" w:sz="4" w:space="0" w:color="000000"/>
              <w:left w:val="single" w:sz="4" w:space="0" w:color="000000"/>
              <w:bottom w:val="single" w:sz="4" w:space="0" w:color="000000"/>
            </w:tcBorders>
            <w:shd w:fill="auto" w:val="clear"/>
          </w:tcPr>
          <w:p>
            <w:pPr>
              <w:pStyle w:val="Style34"/>
              <w:ind w:left="0" w:hanging="0"/>
              <w:jc w:val="center"/>
              <w:rPr>
                <w:sz w:val="22"/>
                <w:szCs w:val="22"/>
              </w:rPr>
            </w:pPr>
            <w:r>
              <w:rPr>
                <w:sz w:val="20"/>
                <w:szCs w:val="20"/>
              </w:rPr>
              <w:t>так</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sz w:val="22"/>
                <w:szCs w:val="22"/>
                <w:lang w:val="uk-UA"/>
              </w:rPr>
            </w:pPr>
            <w:r>
              <w:rPr>
                <w:sz w:val="22"/>
                <w:szCs w:val="22"/>
                <w:lang w:val="uk-UA"/>
              </w:rPr>
              <w:t>За результатами перевірки органами охорони праці (див. Додаток 2) КП «ТЕТ» одержало припис № ПЗ/ТР/755/0050 від 24.01.2024 р. про усунення виявлених порушень законодавства у сферах охорони праці, промислової безпеки (Додаток 3).</w:t>
            </w:r>
          </w:p>
          <w:p>
            <w:pPr>
              <w:pStyle w:val="Normal"/>
              <w:jc w:val="both"/>
              <w:rPr>
                <w:sz w:val="22"/>
                <w:szCs w:val="22"/>
                <w:lang w:val="uk-UA"/>
              </w:rPr>
            </w:pPr>
            <w:r>
              <w:rPr>
                <w:bCs/>
                <w:sz w:val="22"/>
                <w:szCs w:val="22"/>
                <w:lang w:val="uk-UA"/>
              </w:rPr>
              <w:t xml:space="preserve">КП «ТЕТ» оперативно </w:t>
            </w:r>
            <w:r>
              <w:rPr>
                <w:sz w:val="22"/>
                <w:szCs w:val="22"/>
                <w:lang w:val="uk-UA"/>
              </w:rPr>
              <w:t>вжито відповідних заходів та направлено листа № 65/17 від 25.01.2025 р. про усунення виявлених порушень (Додаток 4). Було вжито таких заходів:</w:t>
            </w:r>
          </w:p>
          <w:p>
            <w:pPr>
              <w:pStyle w:val="Normal"/>
              <w:numPr>
                <w:ilvl w:val="0"/>
                <w:numId w:val="2"/>
              </w:numPr>
              <w:ind w:left="327" w:hanging="360"/>
              <w:jc w:val="both"/>
              <w:rPr>
                <w:sz w:val="22"/>
                <w:szCs w:val="22"/>
                <w:lang w:val="uk-UA"/>
              </w:rPr>
            </w:pPr>
            <w:r>
              <w:rPr>
                <w:sz w:val="22"/>
                <w:szCs w:val="22"/>
                <w:lang w:val="uk-UA"/>
              </w:rPr>
              <w:t>на робочому місці охоронців на посту № 1 вивішено «Інструкцію з охорони праці № 85/15 для охоронців ВОП»;</w:t>
            </w:r>
          </w:p>
          <w:p>
            <w:pPr>
              <w:pStyle w:val="Normal"/>
              <w:numPr>
                <w:ilvl w:val="0"/>
                <w:numId w:val="2"/>
              </w:numPr>
              <w:ind w:left="327" w:hanging="360"/>
              <w:jc w:val="both"/>
              <w:rPr>
                <w:sz w:val="22"/>
                <w:szCs w:val="22"/>
                <w:lang w:val="uk-UA"/>
              </w:rPr>
            </w:pPr>
            <w:r>
              <w:rPr>
                <w:sz w:val="22"/>
                <w:szCs w:val="22"/>
                <w:lang w:val="uk-UA"/>
              </w:rPr>
              <w:t>в «Журналі реєстрації інструктажів з охорони праці ВОП» в графі 5 вказано назви і номери інструкцій з охорони праці, по яких проводився повторний інструктаж з працівниками;</w:t>
            </w:r>
          </w:p>
          <w:p>
            <w:pPr>
              <w:pStyle w:val="Normal"/>
              <w:numPr>
                <w:ilvl w:val="0"/>
                <w:numId w:val="2"/>
              </w:numPr>
              <w:ind w:left="327" w:hanging="360"/>
              <w:jc w:val="both"/>
              <w:rPr>
                <w:sz w:val="22"/>
                <w:szCs w:val="22"/>
                <w:lang w:val="uk-UA"/>
              </w:rPr>
            </w:pPr>
            <w:r>
              <w:rPr>
                <w:sz w:val="22"/>
                <w:szCs w:val="22"/>
                <w:lang w:val="uk-UA"/>
              </w:rPr>
              <w:t>в наказах про прийняття па роботу вноситься запис про проведення вступного інструктажу з охорони праці;</w:t>
            </w:r>
          </w:p>
          <w:p>
            <w:pPr>
              <w:pStyle w:val="Normal"/>
              <w:numPr>
                <w:ilvl w:val="0"/>
                <w:numId w:val="2"/>
              </w:numPr>
              <w:ind w:left="327" w:hanging="360"/>
              <w:jc w:val="both"/>
              <w:rPr>
                <w:sz w:val="22"/>
                <w:szCs w:val="22"/>
                <w:lang w:val="uk-UA"/>
              </w:rPr>
            </w:pPr>
            <w:r>
              <w:rPr>
                <w:sz w:val="22"/>
                <w:szCs w:val="22"/>
                <w:lang w:val="uk-UA"/>
              </w:rPr>
              <w:t>в приміщенні прохідної № 1 над розетками нанесено написи «220В».</w:t>
            </w:r>
          </w:p>
        </w:tc>
      </w:tr>
      <w:tr>
        <w:trPr/>
        <w:tc>
          <w:tcPr>
            <w:tcW w:w="3467" w:type="dxa"/>
            <w:tcBorders>
              <w:top w:val="single" w:sz="4" w:space="0" w:color="000000"/>
              <w:left w:val="single" w:sz="4" w:space="0" w:color="000000"/>
              <w:bottom w:val="single" w:sz="4" w:space="0" w:color="000000"/>
            </w:tcBorders>
            <w:shd w:fill="auto" w:val="clear"/>
          </w:tcPr>
          <w:p>
            <w:pPr>
              <w:pStyle w:val="Normal"/>
              <w:rPr>
                <w:sz w:val="22"/>
                <w:szCs w:val="22"/>
                <w:highlight w:val="white"/>
                <w:lang w:val="uk-UA"/>
              </w:rPr>
            </w:pPr>
            <w:r>
              <w:rPr>
                <w:sz w:val="22"/>
                <w:szCs w:val="22"/>
                <w:lang w:val="uk-UA"/>
              </w:rPr>
              <w:t>Чи залучало Підприємство будь-яких підрядників для виконання роботи пов’язаної з проектом протягом звітного періоду?</w:t>
            </w:r>
          </w:p>
        </w:tc>
        <w:tc>
          <w:tcPr>
            <w:tcW w:w="1424" w:type="dxa"/>
            <w:tcBorders>
              <w:top w:val="single" w:sz="4" w:space="0" w:color="000000"/>
              <w:left w:val="single" w:sz="4" w:space="0" w:color="000000"/>
              <w:bottom w:val="single" w:sz="4" w:space="0" w:color="000000"/>
            </w:tcBorders>
            <w:shd w:fill="auto" w:val="clear"/>
          </w:tcPr>
          <w:p>
            <w:pPr>
              <w:pStyle w:val="Normal"/>
              <w:jc w:val="center"/>
              <w:rPr>
                <w:sz w:val="22"/>
                <w:szCs w:val="22"/>
                <w:highlight w:val="yellow"/>
                <w:lang w:val="uk-UA"/>
              </w:rPr>
            </w:pPr>
            <w:r>
              <w:rPr>
                <w:sz w:val="22"/>
                <w:szCs w:val="22"/>
                <w:shd w:fill="FFFFFF" w:val="clear"/>
                <w:lang w:val="uk-UA"/>
              </w:rPr>
              <w:t>ні</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sz w:val="22"/>
                <w:szCs w:val="22"/>
                <w:lang w:val="uk-UA"/>
              </w:rPr>
              <w:t>Протягом звітного періоду підрядники або сторонні організації не залучалися для виконання робіт, пов’язаних із поточною чи проєктною діяльність КП «ТЕТ».</w:t>
            </w:r>
          </w:p>
          <w:p>
            <w:pPr>
              <w:pStyle w:val="Normal"/>
              <w:rPr>
                <w:sz w:val="22"/>
                <w:szCs w:val="22"/>
              </w:rPr>
            </w:pPr>
            <w:r>
              <w:rPr>
                <w:sz w:val="22"/>
                <w:szCs w:val="22"/>
                <w:lang w:val="uk-UA"/>
              </w:rPr>
              <w:t>Підприємство володіє достатніми внутрішніми ресурсами та компетенціями для забезпечення виконання всіх поточних експлуатаційних, ремонтних, а також планових чи невідкладних робіт власними силами</w:t>
            </w:r>
          </w:p>
        </w:tc>
      </w:tr>
      <w:tr>
        <w:trPr/>
        <w:tc>
          <w:tcPr>
            <w:tcW w:w="3467" w:type="dxa"/>
            <w:tcBorders>
              <w:top w:val="single" w:sz="4" w:space="0" w:color="000000"/>
              <w:left w:val="single" w:sz="4" w:space="0" w:color="000000"/>
              <w:bottom w:val="single" w:sz="4" w:space="0" w:color="000000"/>
            </w:tcBorders>
            <w:shd w:fill="auto" w:val="clear"/>
          </w:tcPr>
          <w:p>
            <w:pPr>
              <w:pStyle w:val="Normal"/>
              <w:rPr>
                <w:sz w:val="22"/>
                <w:szCs w:val="22"/>
                <w:highlight w:val="white"/>
                <w:lang w:val="uk-UA"/>
              </w:rPr>
            </w:pPr>
            <w:r>
              <w:rPr>
                <w:sz w:val="22"/>
                <w:szCs w:val="22"/>
                <w:lang w:val="uk-UA"/>
              </w:rPr>
              <w:t>Чи були будь які порушення вище вказаної відповідальності підрядників?</w:t>
            </w:r>
          </w:p>
        </w:tc>
        <w:tc>
          <w:tcPr>
            <w:tcW w:w="1424" w:type="dxa"/>
            <w:tcBorders>
              <w:top w:val="single" w:sz="4" w:space="0" w:color="000000"/>
              <w:left w:val="single" w:sz="4" w:space="0" w:color="000000"/>
              <w:bottom w:val="single" w:sz="4" w:space="0" w:color="000000"/>
            </w:tcBorders>
            <w:shd w:fill="auto" w:val="clear"/>
          </w:tcPr>
          <w:p>
            <w:pPr>
              <w:pStyle w:val="Normal"/>
              <w:jc w:val="center"/>
              <w:rPr/>
            </w:pPr>
            <w:r>
              <w:rPr>
                <w:sz w:val="22"/>
                <w:szCs w:val="22"/>
                <w:shd w:fill="FFFFFF" w:val="clear"/>
                <w:lang w:val="uk-UA"/>
              </w:rPr>
              <w:t>ні</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rPr>
            </w:pPr>
            <w:r>
              <w:rPr>
                <w:sz w:val="22"/>
                <w:szCs w:val="22"/>
                <w:lang w:val="uk-UA"/>
              </w:rPr>
              <w:t>Оскільки протягом звітного періоду КП «ТЕТ» не було залучено жодного підрядника для виконання робіт порушень відповідальності підрядників не зафіксовано, що на даному етапі реалізації проєкту забезпечило повне уникнення ризиків, пов’язаних із зовнішнім виконавцем</w:t>
            </w:r>
          </w:p>
        </w:tc>
      </w:tr>
      <w:tr>
        <w:trPr/>
        <w:tc>
          <w:tcPr>
            <w:tcW w:w="3467" w:type="dxa"/>
            <w:tcBorders>
              <w:top w:val="single" w:sz="4" w:space="0" w:color="000000"/>
              <w:left w:val="single" w:sz="4" w:space="0" w:color="000000"/>
              <w:bottom w:val="single" w:sz="4" w:space="0" w:color="000000"/>
            </w:tcBorders>
            <w:shd w:fill="auto" w:val="clear"/>
          </w:tcPr>
          <w:p>
            <w:pPr>
              <w:pStyle w:val="Normal"/>
              <w:jc w:val="both"/>
              <w:rPr>
                <w:sz w:val="22"/>
                <w:szCs w:val="22"/>
                <w:lang w:val="uk-UA"/>
              </w:rPr>
            </w:pPr>
            <w:r>
              <w:rPr>
                <w:sz w:val="22"/>
                <w:szCs w:val="22"/>
                <w:lang w:val="uk-UA"/>
              </w:rPr>
              <w:t>Чи було скорочено, тимчасово призупинено або припинено будь-який вид роботи у зв’язку із погіршенням екологічної ситуації, охорони праці і техніки безпеки?</w:t>
            </w:r>
          </w:p>
        </w:tc>
        <w:tc>
          <w:tcPr>
            <w:tcW w:w="1424" w:type="dxa"/>
            <w:tcBorders>
              <w:top w:val="single" w:sz="4" w:space="0" w:color="000000"/>
              <w:left w:val="single" w:sz="4" w:space="0" w:color="000000"/>
              <w:bottom w:val="single" w:sz="4" w:space="0" w:color="000000"/>
            </w:tcBorders>
            <w:shd w:fill="auto" w:val="clear"/>
          </w:tcPr>
          <w:p>
            <w:pPr>
              <w:pStyle w:val="Normal"/>
              <w:jc w:val="center"/>
              <w:rPr>
                <w:sz w:val="22"/>
                <w:szCs w:val="22"/>
                <w:lang w:val="uk-UA"/>
              </w:rPr>
            </w:pPr>
            <w:r>
              <w:rPr>
                <w:sz w:val="22"/>
                <w:szCs w:val="22"/>
                <w:lang w:val="uk-UA"/>
              </w:rPr>
              <w:t>ні</w:t>
            </w:r>
          </w:p>
        </w:tc>
        <w:tc>
          <w:tcPr>
            <w:tcW w:w="4747" w:type="dxa"/>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sz w:val="22"/>
                <w:szCs w:val="22"/>
                <w:lang w:val="uk-UA"/>
              </w:rPr>
              <w:t>Протягом звітного періоду Підприємство не скорочувало, не призупиняло та не припиняло жодних видів робіт у зв’язку з погіршенням екологічної ситуації, охорони праці чи техніки безпеки, що свідчить про стабільний стан безпеки та дотримання нормативів.</w:t>
            </w:r>
          </w:p>
          <w:p>
            <w:pPr>
              <w:pStyle w:val="Normal"/>
              <w:rPr>
                <w:sz w:val="22"/>
                <w:szCs w:val="22"/>
                <w:lang w:val="uk-UA"/>
              </w:rPr>
            </w:pPr>
            <w:r>
              <w:rPr>
                <w:sz w:val="22"/>
                <w:szCs w:val="22"/>
                <w:lang w:val="uk-UA"/>
              </w:rPr>
              <w:t xml:space="preserve">Подальша реалізація заходів </w:t>
            </w:r>
            <w:r>
              <w:rPr>
                <w:bCs/>
                <w:color w:val="000000"/>
                <w:sz w:val="22"/>
                <w:szCs w:val="22"/>
                <w:lang w:val="en-US"/>
              </w:rPr>
              <w:t>ESAP</w:t>
            </w:r>
            <w:r>
              <w:rPr>
                <w:bCs/>
                <w:color w:val="000000"/>
                <w:sz w:val="22"/>
                <w:szCs w:val="22"/>
                <w:lang w:val="uk-UA"/>
              </w:rPr>
              <w:t xml:space="preserve"> дасть змогу гарантувати безпеку й попереджати </w:t>
            </w:r>
            <w:r>
              <w:rPr>
                <w:sz w:val="22"/>
                <w:szCs w:val="22"/>
                <w:lang w:val="uk-UA"/>
              </w:rPr>
              <w:t>погіршення екологічної ситуації, забезпечувати охорону праці і техніку безпеки</w:t>
            </w:r>
          </w:p>
        </w:tc>
      </w:tr>
      <w:tr>
        <w:trPr/>
        <w:tc>
          <w:tcPr>
            <w:tcW w:w="9638"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ind w:right="-1" w:hanging="0"/>
              <w:jc w:val="both"/>
              <w:rPr>
                <w:sz w:val="22"/>
                <w:szCs w:val="22"/>
                <w:lang w:val="uk-UA"/>
              </w:rPr>
            </w:pPr>
            <w:r>
              <w:rPr>
                <w:i/>
                <w:sz w:val="22"/>
                <w:szCs w:val="22"/>
                <w:lang w:val="uk-UA"/>
              </w:rPr>
              <w:t>Будь ласка опишіть будь-які екологічні та соціальні програми, ініціативи, проекти, які було впроваджено під час звітного періоду для покращення екологічної та соціальної діяльності Підприємства  та / або його системи управління</w:t>
            </w:r>
            <w:r>
              <w:rPr>
                <w:sz w:val="22"/>
                <w:szCs w:val="22"/>
                <w:lang w:val="uk-UA"/>
              </w:rPr>
              <w:t xml:space="preserve">. </w:t>
            </w:r>
          </w:p>
          <w:p>
            <w:pPr>
              <w:pStyle w:val="Normal"/>
              <w:ind w:right="-1" w:hanging="0"/>
              <w:jc w:val="both"/>
              <w:rPr>
                <w:sz w:val="22"/>
                <w:szCs w:val="22"/>
                <w:lang w:val="uk-UA"/>
              </w:rPr>
            </w:pPr>
            <w:r>
              <w:rPr>
                <w:sz w:val="22"/>
                <w:szCs w:val="22"/>
                <w:lang w:val="uk-UA"/>
              </w:rPr>
              <w:t xml:space="preserve">Для покращення екологічної та соціальної діяльності </w:t>
            </w:r>
            <w:r>
              <w:rPr>
                <w:bCs/>
                <w:sz w:val="22"/>
                <w:szCs w:val="22"/>
                <w:lang w:val="uk-UA"/>
              </w:rPr>
              <w:t xml:space="preserve">КП «ТЕТ» </w:t>
            </w:r>
            <w:r>
              <w:rPr>
                <w:sz w:val="22"/>
                <w:szCs w:val="22"/>
                <w:lang w:val="uk-UA"/>
              </w:rPr>
              <w:t>та його системи управління протягом звітного періоду:</w:t>
            </w:r>
          </w:p>
          <w:p>
            <w:pPr>
              <w:pStyle w:val="Normal"/>
              <w:numPr>
                <w:ilvl w:val="0"/>
                <w:numId w:val="3"/>
              </w:numPr>
              <w:ind w:left="371" w:right="-1" w:hanging="360"/>
              <w:jc w:val="both"/>
              <w:rPr>
                <w:sz w:val="22"/>
                <w:szCs w:val="22"/>
                <w:lang w:val="uk-UA"/>
              </w:rPr>
            </w:pPr>
            <w:r>
              <w:rPr>
                <w:sz w:val="22"/>
                <w:szCs w:val="22"/>
                <w:lang w:val="uk-UA"/>
              </w:rPr>
              <w:t xml:space="preserve">Наказом директора №33 від 01.01.2024 р. переглянуто та впроваджено «Положення про систему управління охороною праці (СУОП) в </w:t>
            </w:r>
            <w:r>
              <w:rPr>
                <w:bCs/>
                <w:sz w:val="22"/>
                <w:szCs w:val="22"/>
                <w:lang w:val="uk-UA"/>
              </w:rPr>
              <w:t>КП «ТЕТ» (Додаток 5)</w:t>
            </w:r>
            <w:r>
              <w:rPr>
                <w:sz w:val="22"/>
                <w:szCs w:val="22"/>
                <w:lang w:val="uk-UA"/>
              </w:rPr>
              <w:t>.</w:t>
            </w:r>
          </w:p>
          <w:p>
            <w:pPr>
              <w:pStyle w:val="Normal"/>
              <w:numPr>
                <w:ilvl w:val="0"/>
                <w:numId w:val="3"/>
              </w:numPr>
              <w:ind w:left="371" w:right="-1" w:hanging="360"/>
              <w:jc w:val="both"/>
              <w:rPr>
                <w:sz w:val="22"/>
                <w:szCs w:val="22"/>
                <w:lang w:val="uk-UA"/>
              </w:rPr>
            </w:pPr>
            <w:r>
              <w:rPr>
                <w:sz w:val="22"/>
                <w:szCs w:val="22"/>
                <w:lang w:val="uk-UA"/>
              </w:rPr>
              <w:t xml:space="preserve">03.06.2024р. розроблено та впроваджено «Політику психосоціальної підтримки на робочому місці у воєнний і післявоєнний час </w:t>
            </w:r>
            <w:r>
              <w:rPr>
                <w:bCs/>
                <w:sz w:val="22"/>
                <w:szCs w:val="22"/>
                <w:lang w:val="uk-UA"/>
              </w:rPr>
              <w:t>КП «ТЕТ»</w:t>
            </w:r>
            <w:r>
              <w:rPr>
                <w:sz w:val="22"/>
                <w:szCs w:val="22"/>
                <w:lang w:val="uk-UA"/>
              </w:rPr>
              <w:t>.</w:t>
            </w:r>
          </w:p>
          <w:p>
            <w:pPr>
              <w:pStyle w:val="Normal"/>
              <w:numPr>
                <w:ilvl w:val="0"/>
                <w:numId w:val="3"/>
              </w:numPr>
              <w:ind w:left="371" w:right="-1" w:hanging="360"/>
              <w:jc w:val="both"/>
              <w:rPr>
                <w:sz w:val="22"/>
                <w:szCs w:val="22"/>
                <w:lang w:val="uk-UA"/>
              </w:rPr>
            </w:pPr>
            <w:r>
              <w:rPr>
                <w:sz w:val="22"/>
                <w:szCs w:val="22"/>
                <w:lang w:val="uk-UA"/>
              </w:rPr>
              <w:t>01.01.2024 р. розроблено і розповсюджено «План з охорони праці та промислової безпеки, екології та цивільного захисту» серед працівників структурних підрозділів підприємства.</w:t>
            </w:r>
          </w:p>
          <w:p>
            <w:pPr>
              <w:pStyle w:val="Normal"/>
              <w:numPr>
                <w:ilvl w:val="0"/>
                <w:numId w:val="3"/>
              </w:numPr>
              <w:ind w:left="371" w:right="-1" w:hanging="360"/>
              <w:jc w:val="both"/>
              <w:rPr>
                <w:sz w:val="22"/>
                <w:szCs w:val="22"/>
                <w:lang w:val="uk-UA"/>
              </w:rPr>
            </w:pPr>
            <w:r>
              <w:rPr>
                <w:sz w:val="22"/>
                <w:szCs w:val="22"/>
                <w:lang w:val="uk-UA"/>
              </w:rPr>
              <w:t>09.04.2024 р. підприємством отримано: дозвіл №ДЗ-1492/ПЗ/1-24 на експлуатацію устаткування напругою понад 1000 В; дозвіл № ДЗ-1493/ПЗ/1-24 на роботи в діючих електроустановках і кабельних лініях напругою понад 1000 В.</w:t>
            </w:r>
          </w:p>
          <w:p>
            <w:pPr>
              <w:pStyle w:val="Normal"/>
              <w:numPr>
                <w:ilvl w:val="0"/>
                <w:numId w:val="3"/>
              </w:numPr>
              <w:ind w:left="371" w:right="-1" w:hanging="360"/>
              <w:jc w:val="both"/>
              <w:rPr>
                <w:sz w:val="22"/>
                <w:szCs w:val="22"/>
                <w:lang w:val="uk-UA"/>
              </w:rPr>
            </w:pPr>
            <w:r>
              <w:rPr>
                <w:sz w:val="22"/>
                <w:szCs w:val="22"/>
                <w:lang w:val="uk-UA"/>
              </w:rPr>
              <w:t>Забезпечено навчання з питань охорони праці відповідального за електрогосподарство підприємства (посвідчення № 01-17-24 від 31.07.2024 р.) та заступника відповідального за електрогосподарство підприємства (посвідчення № 16-21-24 від 25.09.2024 р., № 14-22-24 від 25.09.2024 р.) (Додаток 6).</w:t>
            </w:r>
          </w:p>
          <w:p>
            <w:pPr>
              <w:pStyle w:val="Normal"/>
              <w:numPr>
                <w:ilvl w:val="0"/>
                <w:numId w:val="3"/>
              </w:numPr>
              <w:ind w:left="371" w:right="-1" w:hanging="360"/>
              <w:jc w:val="both"/>
              <w:rPr>
                <w:sz w:val="22"/>
                <w:szCs w:val="22"/>
                <w:lang w:val="uk-UA"/>
              </w:rPr>
            </w:pPr>
            <w:r>
              <w:rPr>
                <w:sz w:val="22"/>
                <w:szCs w:val="22"/>
                <w:lang w:val="uk-UA"/>
              </w:rPr>
              <w:t>Забезпечено професійне навчання операторів автозаправної станції (посвідчення № 1252/12-1-2024 від 05.12.2024 р., № 574/16-2023 від 12.12.2024 р., № 24-42С-01 від 12.12.2024 р.) (Додаток 7).</w:t>
            </w:r>
          </w:p>
          <w:p>
            <w:pPr>
              <w:pStyle w:val="Normal"/>
              <w:numPr>
                <w:ilvl w:val="0"/>
                <w:numId w:val="3"/>
              </w:numPr>
              <w:ind w:left="371" w:right="-1" w:hanging="360"/>
              <w:jc w:val="both"/>
              <w:rPr>
                <w:sz w:val="22"/>
                <w:szCs w:val="22"/>
                <w:lang w:val="uk-UA"/>
              </w:rPr>
            </w:pPr>
            <w:r>
              <w:rPr>
                <w:sz w:val="22"/>
                <w:szCs w:val="22"/>
                <w:lang w:val="uk-UA"/>
              </w:rPr>
              <w:t xml:space="preserve">01.01.2024 р. розроблено: «Тематичний план і Програму навчання посадових осіб і спеціалістів </w:t>
            </w:r>
            <w:r>
              <w:rPr>
                <w:bCs/>
                <w:sz w:val="22"/>
                <w:szCs w:val="22"/>
                <w:lang w:val="uk-UA"/>
              </w:rPr>
              <w:t xml:space="preserve">КП «ТЕТ» </w:t>
            </w:r>
            <w:r>
              <w:rPr>
                <w:sz w:val="22"/>
                <w:szCs w:val="22"/>
                <w:lang w:val="uk-UA"/>
              </w:rPr>
              <w:t>з питань охорони праці», «Програму навчання електромонтерів контактно-кабельної мережі з питань охорони праці, електробезпеки та технології робіт», «Програму навчання водіїв тролейбусів, автобусів та автотранспортних засобів з питань охорони праці, безпеки дорожнього руху».</w:t>
            </w:r>
          </w:p>
          <w:p>
            <w:pPr>
              <w:pStyle w:val="Normal"/>
              <w:numPr>
                <w:ilvl w:val="0"/>
                <w:numId w:val="3"/>
              </w:numPr>
              <w:ind w:left="371" w:right="-1" w:hanging="360"/>
              <w:jc w:val="both"/>
              <w:rPr>
                <w:sz w:val="22"/>
                <w:szCs w:val="22"/>
                <w:lang w:val="uk-UA"/>
              </w:rPr>
            </w:pPr>
            <w:r>
              <w:rPr>
                <w:sz w:val="22"/>
                <w:szCs w:val="22"/>
                <w:lang w:val="uk-UA"/>
              </w:rPr>
              <w:t>01.03.2024 р. розроблено «Програму навчання працівників, робота яких пов’язана з підвищеною небезпекою».</w:t>
            </w:r>
          </w:p>
          <w:p>
            <w:pPr>
              <w:pStyle w:val="Normal"/>
              <w:numPr>
                <w:ilvl w:val="0"/>
                <w:numId w:val="3"/>
              </w:numPr>
              <w:ind w:left="371" w:right="-1" w:hanging="360"/>
              <w:jc w:val="both"/>
              <w:rPr>
                <w:sz w:val="22"/>
                <w:szCs w:val="22"/>
                <w:lang w:val="uk-UA"/>
              </w:rPr>
            </w:pPr>
            <w:r>
              <w:rPr>
                <w:sz w:val="22"/>
                <w:szCs w:val="22"/>
                <w:lang w:val="uk-UA"/>
              </w:rPr>
              <w:t>Визначено терміни і дотримано графіки проведення навчання і перевірки знань з питань охорони праці водіїв тролейбусів, автобусів та автотранспортних засобів, електромонтерів контактно-кабельної мережі з питань охорони праці, з технології робіт (накази № 298 від 18.09.2024 р., № 89 від 26.02.2024 р., № 90 від 26.02.2024 р.)</w:t>
            </w:r>
          </w:p>
          <w:p>
            <w:pPr>
              <w:pStyle w:val="Normal"/>
              <w:numPr>
                <w:ilvl w:val="0"/>
                <w:numId w:val="3"/>
              </w:numPr>
              <w:ind w:left="371" w:right="-1" w:hanging="360"/>
              <w:jc w:val="both"/>
              <w:rPr>
                <w:sz w:val="22"/>
                <w:szCs w:val="22"/>
                <w:lang w:val="uk-UA"/>
              </w:rPr>
            </w:pPr>
            <w:r>
              <w:rPr>
                <w:sz w:val="22"/>
                <w:szCs w:val="22"/>
                <w:lang w:val="uk-UA"/>
              </w:rPr>
              <w:t>Проведено навчання водіїв методам надання домедичної допомоги постраждалим внаслідок ДТП (посвідчення серія 2ААА № 011255, № 011256, № 011258, № 011259) (Додаток 8).</w:t>
            </w:r>
          </w:p>
          <w:p>
            <w:pPr>
              <w:pStyle w:val="Normal"/>
              <w:numPr>
                <w:ilvl w:val="0"/>
                <w:numId w:val="3"/>
              </w:numPr>
              <w:ind w:left="371" w:right="-1" w:hanging="360"/>
              <w:jc w:val="both"/>
              <w:rPr>
                <w:sz w:val="22"/>
                <w:szCs w:val="22"/>
                <w:lang w:val="uk-UA"/>
              </w:rPr>
            </w:pPr>
            <w:r>
              <w:rPr>
                <w:sz w:val="22"/>
                <w:szCs w:val="22"/>
                <w:lang w:val="uk-UA"/>
              </w:rPr>
              <w:t>Проведено навчання з питань цивільного захисту директора підприємства, відповідальної особи з питань цивільного захисту, командирів санітарного поста та аварійно-рятувальної ланки (Додаток 9).</w:t>
            </w:r>
          </w:p>
          <w:p>
            <w:pPr>
              <w:pStyle w:val="Normal"/>
              <w:ind w:right="-1" w:hanging="0"/>
              <w:jc w:val="both"/>
              <w:rPr>
                <w:sz w:val="22"/>
                <w:szCs w:val="22"/>
                <w:lang w:val="uk-UA"/>
              </w:rPr>
            </w:pPr>
            <w:r>
              <w:rPr>
                <w:sz w:val="22"/>
                <w:szCs w:val="22"/>
                <w:lang w:val="uk-UA"/>
              </w:rPr>
            </w:r>
          </w:p>
          <w:p>
            <w:pPr>
              <w:pStyle w:val="Normal"/>
              <w:ind w:right="-1" w:hanging="0"/>
              <w:jc w:val="both"/>
              <w:rPr>
                <w:i/>
                <w:i/>
                <w:sz w:val="22"/>
                <w:szCs w:val="22"/>
                <w:lang w:val="uk-UA"/>
              </w:rPr>
            </w:pPr>
            <w:r>
              <w:rPr>
                <w:i/>
                <w:sz w:val="22"/>
                <w:szCs w:val="22"/>
                <w:lang w:val="uk-UA"/>
              </w:rPr>
              <w:t xml:space="preserve">Будь ласка вкажіть рівень витрат (капітальні та поточні витрати), чи вони були пов’язані з вимогами Екологічного та соціального плану дій або будь-яких інших ініціатив. </w:t>
            </w:r>
          </w:p>
          <w:p>
            <w:pPr>
              <w:pStyle w:val="Normal"/>
              <w:ind w:right="-1" w:hanging="0"/>
              <w:jc w:val="both"/>
              <w:rPr>
                <w:iCs/>
                <w:sz w:val="22"/>
                <w:szCs w:val="22"/>
                <w:lang w:val="uk-UA"/>
              </w:rPr>
            </w:pPr>
            <w:r>
              <w:rPr>
                <w:sz w:val="22"/>
                <w:szCs w:val="22"/>
                <w:lang w:val="uk-UA"/>
              </w:rPr>
              <w:t xml:space="preserve">Для вдосконалення екологічної та соціальної діяльності </w:t>
            </w:r>
            <w:r>
              <w:rPr>
                <w:bCs/>
                <w:sz w:val="22"/>
                <w:szCs w:val="22"/>
                <w:lang w:val="uk-UA"/>
              </w:rPr>
              <w:t xml:space="preserve">КП «ТЕТ», у т. ч. для забезпечення вчасної реалізації планових заходів </w:t>
            </w:r>
            <w:r>
              <w:rPr>
                <w:bCs/>
                <w:color w:val="000000"/>
                <w:sz w:val="22"/>
                <w:szCs w:val="22"/>
                <w:lang w:val="en-US"/>
              </w:rPr>
              <w:t>ESAP</w:t>
            </w:r>
            <w:r>
              <w:rPr>
                <w:bCs/>
                <w:sz w:val="22"/>
                <w:szCs w:val="22"/>
                <w:lang w:val="uk-UA"/>
              </w:rPr>
              <w:t xml:space="preserve"> підприємством у 2024 р. понесено такі поточні витрати:</w:t>
            </w:r>
          </w:p>
          <w:p>
            <w:pPr>
              <w:pStyle w:val="ListParagraph"/>
              <w:spacing w:lineRule="auto" w:line="256" w:before="0" w:after="0"/>
              <w:ind w:left="714" w:right="-142" w:hanging="357"/>
              <w:rPr>
                <w:lang w:val="uk-UA"/>
              </w:rPr>
            </w:pPr>
            <w:r>
              <w:rPr>
                <w:rFonts w:cs="Times New Roman" w:ascii="Times New Roman" w:hAnsi="Times New Roman"/>
                <w:lang w:val="uk-UA"/>
              </w:rPr>
              <w:t>Витрати на відведення та очищення стічних вод – 8,2 тис. грн, поводження з відходами – 66,5 тис. грн (Додаток 10).</w:t>
            </w:r>
          </w:p>
          <w:p>
            <w:pPr>
              <w:pStyle w:val="ListParagraph"/>
              <w:spacing w:lineRule="auto" w:line="256" w:before="0" w:after="0"/>
              <w:ind w:left="714" w:right="-142" w:hanging="357"/>
              <w:rPr>
                <w:rFonts w:ascii="Times New Roman" w:hAnsi="Times New Roman" w:cs="Times New Roman"/>
                <w:lang w:val="uk-UA"/>
              </w:rPr>
            </w:pPr>
            <w:r>
              <w:rPr>
                <w:rFonts w:cs="Times New Roman" w:ascii="Times New Roman" w:hAnsi="Times New Roman"/>
                <w:lang w:val="uk-UA"/>
              </w:rPr>
              <w:t xml:space="preserve">Витрати на навчання – 12,8 тис. грн, що передбачали: </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 xml:space="preserve">навчання з питань охорони праці відповідального за електрогосподарство підприємства (посвідчення №01-17-24 від 31.07.2024 р.) та заступника відповідального за електрогосподарство підприємства (посвідчення №16-21-24 від 25.09.2024 р., №14-22-24 від 25.09.2024 р.); </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професійне навчання операторів автозаправної станції (посвідчення №1252/12-1-2024 від 05.12.2024 р., №574/16-2023 від 12.12.2024 р., №24-42С-01 від 12.12.2024 р.);</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навчання водіїв методам надання домедичної допомоги постраждалим внаслідок ДТП (посвідчення серія 2ААА № 011255, № 011256, № 011258, № 011259);</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навчання з питань цивільного захисту директора підприємства, відповідальної особи з питань цивільного захисту, командирів санітарного поста та аварійно-рятувальної ланки.</w:t>
            </w:r>
          </w:p>
          <w:p>
            <w:pPr>
              <w:pStyle w:val="ListParagraph"/>
              <w:spacing w:lineRule="auto" w:line="256" w:before="0" w:after="0"/>
              <w:ind w:left="714" w:right="-142" w:hanging="357"/>
              <w:rPr>
                <w:rFonts w:ascii="Times New Roman" w:hAnsi="Times New Roman" w:cs="Times New Roman"/>
                <w:lang w:val="uk-UA"/>
              </w:rPr>
            </w:pPr>
            <w:r>
              <w:rPr>
                <w:rFonts w:cs="Times New Roman" w:ascii="Times New Roman" w:hAnsi="Times New Roman"/>
                <w:lang w:val="uk-UA"/>
              </w:rPr>
              <w:t xml:space="preserve">Витрати на забезпечення працівників підприємства спеціальним одягом і захисним взуттям – 171, 557 тис. грн 92 коп. </w:t>
            </w:r>
          </w:p>
          <w:p>
            <w:pPr>
              <w:pStyle w:val="Normal"/>
              <w:spacing w:lineRule="auto" w:line="256"/>
              <w:ind w:left="357" w:right="-142" w:hanging="0"/>
              <w:rPr>
                <w:sz w:val="22"/>
                <w:szCs w:val="22"/>
                <w:lang w:val="uk-UA"/>
              </w:rPr>
            </w:pPr>
            <w:r>
              <w:rPr>
                <w:sz w:val="22"/>
                <w:szCs w:val="22"/>
                <w:lang w:val="uk-UA"/>
              </w:rPr>
              <w:t>Впродовж 2022–2024 рр. на підприємстві функціонував цех по пошиттю спецодягу, зокрема, у 2024 році для працівників підприємства було пошито:</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116 курток на утеплювальній підкладці;</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1 халат робочий для мийника-прибиральника рухомого складу;</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3 форми робочих для працівників їдальні;</w:t>
            </w:r>
          </w:p>
          <w:p>
            <w:pPr>
              <w:pStyle w:val="ListParagraph"/>
              <w:tabs>
                <w:tab w:val="clear" w:pos="708"/>
                <w:tab w:val="left" w:pos="979" w:leader="none"/>
              </w:tabs>
              <w:spacing w:lineRule="auto" w:line="240" w:before="0" w:after="0"/>
              <w:ind w:left="357" w:right="-142" w:firstLine="383"/>
              <w:rPr>
                <w:rFonts w:ascii="Times New Roman" w:hAnsi="Times New Roman" w:cs="Times New Roman"/>
                <w:lang w:val="uk-UA"/>
              </w:rPr>
            </w:pPr>
            <w:r>
              <w:rPr>
                <w:rFonts w:cs="Times New Roman" w:ascii="Times New Roman" w:hAnsi="Times New Roman"/>
                <w:lang w:val="uk-UA"/>
              </w:rPr>
              <w:t>133 костюми робочих.</w:t>
            </w:r>
          </w:p>
          <w:p>
            <w:pPr>
              <w:pStyle w:val="ListParagraph"/>
              <w:tabs>
                <w:tab w:val="clear" w:pos="708"/>
                <w:tab w:val="left" w:pos="979" w:leader="none"/>
              </w:tabs>
              <w:spacing w:lineRule="auto" w:line="240" w:before="0" w:after="0"/>
              <w:ind w:left="740" w:right="-142" w:hanging="0"/>
              <w:rPr>
                <w:rFonts w:ascii="Times New Roman" w:hAnsi="Times New Roman" w:cs="Times New Roman"/>
                <w:lang w:val="uk-UA"/>
              </w:rPr>
            </w:pPr>
            <w:r>
              <w:rPr>
                <w:rFonts w:cs="Times New Roman" w:ascii="Times New Roman" w:hAnsi="Times New Roman"/>
                <w:lang w:val="uk-UA"/>
              </w:rPr>
              <w:t>Придбано 140 пар черевиків ПУП ВА 4112.</w:t>
            </w:r>
          </w:p>
        </w:tc>
      </w:tr>
    </w:tbl>
    <w:p>
      <w:pPr>
        <w:pStyle w:val="Normal"/>
        <w:rPr>
          <w:sz w:val="18"/>
          <w:szCs w:val="18"/>
          <w:lang w:val="uk-UA"/>
        </w:rPr>
      </w:pPr>
      <w:r>
        <w:rPr>
          <w:sz w:val="18"/>
          <w:szCs w:val="18"/>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color="auto" w:fill="000000" w:val="clear"/>
          </w:tcPr>
          <w:p>
            <w:pPr>
              <w:pStyle w:val="Normal"/>
              <w:rPr/>
            </w:pPr>
            <w:r>
              <w:rPr>
                <w:b/>
                <w:bCs/>
                <w:lang w:val="uk-UA"/>
              </w:rPr>
              <w:t>3. Стан Екологічного та Соціального Плану Дій</w:t>
            </w:r>
          </w:p>
        </w:tc>
      </w:tr>
      <w:tr>
        <w:trPr>
          <w:trHeight w:val="59" w:hRule="atLeast"/>
        </w:trPr>
        <w:tc>
          <w:tcPr>
            <w:tcW w:w="9638"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i/>
                <w:i/>
                <w:sz w:val="22"/>
                <w:szCs w:val="22"/>
                <w:lang w:val="uk-UA"/>
              </w:rPr>
            </w:pPr>
            <w:r>
              <w:rPr>
                <w:i/>
                <w:sz w:val="22"/>
                <w:szCs w:val="22"/>
                <w:lang w:val="uk-UA"/>
              </w:rPr>
              <w:t xml:space="preserve">Будь ласка надайте інформацію щодо стану кожного пункту Екологічного та соціального плану дій (ESAP), який було узгоджено з ЄБРР. Якщо вищезгаданий План дій було оновлено протягом звітного періоду, надайте копію нового плану. </w:t>
            </w:r>
          </w:p>
          <w:p>
            <w:pPr>
              <w:pStyle w:val="Normal"/>
              <w:jc w:val="both"/>
              <w:rPr>
                <w:i/>
                <w:i/>
                <w:sz w:val="22"/>
                <w:szCs w:val="22"/>
                <w:lang w:val="uk-UA"/>
              </w:rPr>
            </w:pPr>
            <w:r>
              <w:rPr>
                <w:i/>
                <w:sz w:val="22"/>
                <w:szCs w:val="22"/>
                <w:lang w:val="uk-UA"/>
              </w:rPr>
              <w:t xml:space="preserve">Будь ласка, надайте інформацію про статус кожного пункту в Плані екологічних та соціальних дій (ESAP) </w:t>
            </w:r>
          </w:p>
          <w:p>
            <w:pPr>
              <w:pStyle w:val="Normal"/>
              <w:jc w:val="both"/>
              <w:rPr>
                <w:i/>
                <w:i/>
                <w:sz w:val="22"/>
                <w:szCs w:val="22"/>
                <w:lang w:val="uk-UA"/>
              </w:rPr>
            </w:pPr>
            <w:r>
              <w:rPr>
                <w:i/>
                <w:sz w:val="22"/>
                <w:szCs w:val="22"/>
                <w:lang w:val="uk-UA"/>
              </w:rPr>
              <w:t xml:space="preserve">погодився з EBRD. Якщо ESAP був оновлений протягом звітного періоду, додайте копію нового </w:t>
            </w:r>
          </w:p>
          <w:p>
            <w:pPr>
              <w:pStyle w:val="Normal"/>
              <w:jc w:val="both"/>
              <w:rPr>
                <w:i/>
                <w:i/>
                <w:sz w:val="22"/>
                <w:szCs w:val="22"/>
                <w:lang w:val="uk-UA"/>
              </w:rPr>
            </w:pPr>
            <w:r>
              <w:rPr>
                <w:i/>
                <w:sz w:val="22"/>
                <w:szCs w:val="22"/>
                <w:lang w:val="uk-UA"/>
              </w:rPr>
              <w:t xml:space="preserve">план. </w:t>
            </w:r>
          </w:p>
          <w:p>
            <w:pPr>
              <w:pStyle w:val="Normal"/>
              <w:jc w:val="both"/>
              <w:rPr>
                <w:sz w:val="22"/>
                <w:szCs w:val="22"/>
                <w:lang w:val="uk-UA"/>
              </w:rPr>
            </w:pPr>
            <w:r>
              <w:rPr>
                <w:sz w:val="22"/>
                <w:szCs w:val="22"/>
                <w:lang w:val="uk-UA"/>
              </w:rPr>
            </w:r>
          </w:p>
          <w:p>
            <w:pPr>
              <w:pStyle w:val="Normal"/>
              <w:jc w:val="both"/>
              <w:rPr>
                <w:sz w:val="22"/>
                <w:szCs w:val="22"/>
                <w:lang w:val="uk-UA"/>
              </w:rPr>
            </w:pPr>
            <w:r>
              <w:rPr>
                <w:sz w:val="22"/>
                <w:szCs w:val="22"/>
                <w:lang w:val="uk-UA"/>
              </w:rPr>
              <w:t xml:space="preserve">Майже всі розділи плану </w:t>
            </w:r>
            <w:r>
              <w:rPr>
                <w:bCs/>
                <w:sz w:val="22"/>
                <w:szCs w:val="22"/>
                <w:lang w:val="en-US"/>
              </w:rPr>
              <w:t>ESAP</w:t>
            </w:r>
            <w:r>
              <w:rPr>
                <w:bCs/>
                <w:sz w:val="22"/>
                <w:szCs w:val="22"/>
              </w:rPr>
              <w:t xml:space="preserve"> </w:t>
            </w:r>
            <w:r>
              <w:rPr>
                <w:sz w:val="22"/>
                <w:szCs w:val="22"/>
                <w:lang w:val="uk-UA"/>
              </w:rPr>
              <w:t xml:space="preserve">та заходи, визначені й необхідні на даному етапі впровадження проєкту, реалізовані. </w:t>
            </w:r>
          </w:p>
          <w:p>
            <w:pPr>
              <w:pStyle w:val="Normal"/>
              <w:jc w:val="both"/>
              <w:rPr>
                <w:sz w:val="22"/>
                <w:szCs w:val="22"/>
                <w:lang w:val="uk-UA"/>
              </w:rPr>
            </w:pPr>
            <w:r>
              <w:rPr>
                <w:sz w:val="22"/>
                <w:szCs w:val="22"/>
                <w:lang w:val="uk-UA"/>
              </w:rPr>
              <w:t xml:space="preserve">1. Оцінка та управління екологічними та соціальними наслідками та проблемами. </w:t>
            </w:r>
          </w:p>
          <w:p>
            <w:pPr>
              <w:pStyle w:val="Normal"/>
              <w:jc w:val="both"/>
              <w:rPr>
                <w:sz w:val="22"/>
                <w:szCs w:val="22"/>
                <w:lang w:val="uk-UA"/>
              </w:rPr>
            </w:pPr>
            <w:r>
              <w:rPr>
                <w:sz w:val="22"/>
                <w:szCs w:val="22"/>
                <w:lang w:val="uk-UA"/>
              </w:rPr>
              <w:t>Систему екологічного та соціального управління (СЕСУ) не розроблено як окремий документ, але її окремі елементи наявні.</w:t>
            </w:r>
          </w:p>
          <w:p>
            <w:pPr>
              <w:pStyle w:val="Normal"/>
              <w:jc w:val="both"/>
              <w:rPr>
                <w:sz w:val="22"/>
                <w:szCs w:val="22"/>
                <w:lang w:val="uk-UA"/>
              </w:rPr>
            </w:pPr>
            <w:r>
              <w:rPr>
                <w:sz w:val="22"/>
                <w:szCs w:val="22"/>
                <w:lang w:val="uk-UA"/>
              </w:rPr>
              <w:t xml:space="preserve">Розпочато виконання Плану екологічного та соціального менеджменту. </w:t>
            </w:r>
          </w:p>
          <w:p>
            <w:pPr>
              <w:pStyle w:val="Normal"/>
              <w:jc w:val="both"/>
              <w:rPr>
                <w:sz w:val="22"/>
                <w:szCs w:val="22"/>
                <w:lang w:val="uk-UA"/>
              </w:rPr>
            </w:pPr>
            <w:r>
              <w:rPr>
                <w:sz w:val="22"/>
                <w:szCs w:val="22"/>
                <w:lang w:val="uk-UA"/>
              </w:rPr>
              <w:t>Відбулося навчання відповідального персоналу за міжнародними стандартами ISO 14001 (наявні сертифікати).</w:t>
            </w:r>
          </w:p>
          <w:p>
            <w:pPr>
              <w:pStyle w:val="Normal"/>
              <w:jc w:val="both"/>
              <w:rPr>
                <w:sz w:val="22"/>
                <w:szCs w:val="22"/>
                <w:lang w:val="uk-UA"/>
              </w:rPr>
            </w:pPr>
            <w:r>
              <w:rPr>
                <w:sz w:val="22"/>
                <w:szCs w:val="22"/>
                <w:lang w:val="uk-UA"/>
              </w:rPr>
              <w:t>Розроблено план та програму внутрішнього навчання.</w:t>
            </w:r>
          </w:p>
          <w:p>
            <w:pPr>
              <w:pStyle w:val="Normal"/>
              <w:jc w:val="both"/>
              <w:rPr>
                <w:sz w:val="22"/>
                <w:szCs w:val="22"/>
                <w:lang w:val="uk-UA"/>
              </w:rPr>
            </w:pPr>
            <w:r>
              <w:rPr>
                <w:sz w:val="22"/>
                <w:szCs w:val="22"/>
                <w:lang w:val="uk-UA"/>
              </w:rPr>
              <w:t>Критерії EHS включені в процедуру відбору постачальників/підрядників та в контракти.</w:t>
            </w:r>
          </w:p>
          <w:p>
            <w:pPr>
              <w:pStyle w:val="Normal"/>
              <w:jc w:val="both"/>
              <w:rPr>
                <w:sz w:val="22"/>
                <w:szCs w:val="22"/>
                <w:lang w:val="uk-UA"/>
              </w:rPr>
            </w:pPr>
            <w:r>
              <w:rPr>
                <w:sz w:val="22"/>
                <w:szCs w:val="22"/>
                <w:lang w:val="uk-UA"/>
              </w:rPr>
              <w:t xml:space="preserve">Розроблені процедури ефективного функціонування системи управління навколишнім середовищем. </w:t>
            </w:r>
          </w:p>
          <w:p>
            <w:pPr>
              <w:pStyle w:val="Normal"/>
              <w:jc w:val="both"/>
              <w:rPr>
                <w:sz w:val="22"/>
                <w:szCs w:val="22"/>
                <w:lang w:val="uk-UA"/>
              </w:rPr>
            </w:pPr>
            <w:r>
              <w:rPr>
                <w:sz w:val="22"/>
                <w:szCs w:val="22"/>
                <w:lang w:val="uk-UA"/>
              </w:rPr>
              <w:t>2. Праця та умови праці.</w:t>
            </w:r>
          </w:p>
          <w:p>
            <w:pPr>
              <w:pStyle w:val="Normal"/>
              <w:jc w:val="both"/>
              <w:rPr>
                <w:sz w:val="22"/>
                <w:szCs w:val="22"/>
                <w:lang w:val="uk-UA"/>
              </w:rPr>
            </w:pPr>
            <w:r>
              <w:rPr>
                <w:sz w:val="22"/>
                <w:szCs w:val="22"/>
                <w:lang w:val="uk-UA"/>
              </w:rPr>
              <w:t xml:space="preserve">Введені заходи з охорони навколишнього середовища та безпеки для працівників підприємства. </w:t>
            </w:r>
          </w:p>
          <w:p>
            <w:pPr>
              <w:pStyle w:val="Normal"/>
              <w:jc w:val="both"/>
              <w:rPr>
                <w:sz w:val="22"/>
                <w:szCs w:val="22"/>
                <w:lang w:val="uk-UA"/>
              </w:rPr>
            </w:pPr>
            <w:r>
              <w:rPr>
                <w:sz w:val="22"/>
                <w:szCs w:val="22"/>
                <w:lang w:val="uk-UA"/>
              </w:rPr>
              <w:t>Розроблено й розповсюджено процедури та плани з охорони праці та промислової безпеки.</w:t>
            </w:r>
          </w:p>
          <w:p>
            <w:pPr>
              <w:pStyle w:val="Normal"/>
              <w:jc w:val="both"/>
              <w:rPr>
                <w:sz w:val="22"/>
                <w:szCs w:val="22"/>
                <w:lang w:val="uk-UA"/>
              </w:rPr>
            </w:pPr>
            <w:r>
              <w:rPr>
                <w:sz w:val="22"/>
                <w:szCs w:val="22"/>
                <w:lang w:val="uk-UA"/>
              </w:rPr>
              <w:t>Розроблено карти умов праці, що охоплюють фактори виробничого середовища і трудового процесу.</w:t>
            </w:r>
          </w:p>
          <w:p>
            <w:pPr>
              <w:pStyle w:val="Normal"/>
              <w:jc w:val="both"/>
              <w:rPr>
                <w:sz w:val="22"/>
                <w:szCs w:val="22"/>
                <w:lang w:val="uk-UA"/>
              </w:rPr>
            </w:pPr>
            <w:r>
              <w:rPr>
                <w:sz w:val="22"/>
                <w:szCs w:val="22"/>
                <w:lang w:val="uk-UA"/>
              </w:rPr>
              <w:t>Розроблено та діє механізм системи скарг для місцевої громади і штатних працівників.</w:t>
            </w:r>
          </w:p>
          <w:p>
            <w:pPr>
              <w:pStyle w:val="Normal"/>
              <w:jc w:val="both"/>
              <w:rPr>
                <w:sz w:val="22"/>
                <w:szCs w:val="22"/>
                <w:lang w:val="uk-UA"/>
              </w:rPr>
            </w:pPr>
            <w:r>
              <w:rPr>
                <w:sz w:val="22"/>
                <w:szCs w:val="22"/>
                <w:lang w:val="uk-UA"/>
              </w:rPr>
              <w:t xml:space="preserve">Проводиться робота з підрядниками проекту щодо моніторингу відповідності вимог Плану екологічних та соціальних дій. </w:t>
            </w:r>
          </w:p>
          <w:p>
            <w:pPr>
              <w:pStyle w:val="Normal"/>
              <w:jc w:val="both"/>
              <w:rPr>
                <w:sz w:val="22"/>
                <w:szCs w:val="22"/>
                <w:lang w:val="uk-UA"/>
              </w:rPr>
            </w:pPr>
            <w:r>
              <w:rPr>
                <w:sz w:val="22"/>
                <w:szCs w:val="22"/>
                <w:lang w:val="uk-UA"/>
              </w:rPr>
              <w:t>3. Ресурсоефективність та запобігання і контроль забруднення.</w:t>
            </w:r>
          </w:p>
          <w:p>
            <w:pPr>
              <w:pStyle w:val="Normal"/>
              <w:jc w:val="both"/>
              <w:rPr>
                <w:sz w:val="22"/>
                <w:szCs w:val="22"/>
                <w:lang w:val="uk-UA"/>
              </w:rPr>
            </w:pPr>
            <w:r>
              <w:rPr>
                <w:sz w:val="22"/>
                <w:szCs w:val="22"/>
                <w:lang w:val="uk-UA"/>
              </w:rPr>
              <w:t>Розроблено План управління відходами.</w:t>
            </w:r>
          </w:p>
          <w:p>
            <w:pPr>
              <w:pStyle w:val="Normal"/>
              <w:jc w:val="both"/>
              <w:rPr>
                <w:sz w:val="22"/>
                <w:szCs w:val="22"/>
                <w:lang w:val="uk-UA"/>
              </w:rPr>
            </w:pPr>
            <w:r>
              <w:rPr>
                <w:sz w:val="22"/>
                <w:szCs w:val="22"/>
                <w:lang w:val="uk-UA"/>
              </w:rPr>
              <w:t>Розроблено План поводження з відходами експлуатації. Зроблено інвентаризацію відходів експлуатації.</w:t>
            </w:r>
          </w:p>
          <w:p>
            <w:pPr>
              <w:pStyle w:val="Normal"/>
              <w:jc w:val="both"/>
              <w:rPr>
                <w:sz w:val="22"/>
                <w:szCs w:val="22"/>
                <w:lang w:val="uk-UA"/>
              </w:rPr>
            </w:pPr>
            <w:r>
              <w:rPr>
                <w:sz w:val="22"/>
                <w:szCs w:val="22"/>
                <w:lang w:val="uk-UA"/>
              </w:rPr>
              <w:t>Відходи утилізовано за договором із сертифікованою компанією.</w:t>
            </w:r>
          </w:p>
          <w:p>
            <w:pPr>
              <w:pStyle w:val="Normal"/>
              <w:jc w:val="both"/>
              <w:rPr>
                <w:sz w:val="22"/>
                <w:szCs w:val="22"/>
                <w:lang w:val="uk-UA"/>
              </w:rPr>
            </w:pPr>
            <w:r>
              <w:rPr>
                <w:sz w:val="22"/>
                <w:szCs w:val="22"/>
                <w:lang w:val="uk-UA"/>
              </w:rPr>
              <w:t>Наявний дозвіл на викиди в атмосферне повітря стаціонарними джерелами.</w:t>
            </w:r>
          </w:p>
          <w:p>
            <w:pPr>
              <w:pStyle w:val="Normal"/>
              <w:jc w:val="both"/>
              <w:rPr>
                <w:sz w:val="22"/>
                <w:szCs w:val="22"/>
                <w:lang w:val="uk-UA"/>
              </w:rPr>
            </w:pPr>
            <w:r>
              <w:rPr>
                <w:sz w:val="22"/>
                <w:szCs w:val="22"/>
                <w:lang w:val="uk-UA"/>
              </w:rPr>
              <w:t>4. Охорона здоров'я та безпека</w:t>
            </w:r>
          </w:p>
          <w:p>
            <w:pPr>
              <w:pStyle w:val="Normal"/>
              <w:jc w:val="both"/>
              <w:rPr>
                <w:sz w:val="22"/>
                <w:szCs w:val="22"/>
                <w:lang w:val="uk-UA"/>
              </w:rPr>
            </w:pPr>
            <w:r>
              <w:rPr>
                <w:sz w:val="22"/>
                <w:szCs w:val="22"/>
                <w:lang w:val="uk-UA"/>
              </w:rPr>
              <w:t>Оцінено ризики, пов'язані з охороною праці та промисловою безпекою.</w:t>
            </w:r>
          </w:p>
          <w:p>
            <w:pPr>
              <w:pStyle w:val="Normal"/>
              <w:jc w:val="both"/>
              <w:rPr>
                <w:sz w:val="22"/>
                <w:szCs w:val="22"/>
                <w:lang w:val="uk-UA"/>
              </w:rPr>
            </w:pPr>
            <w:r>
              <w:rPr>
                <w:sz w:val="22"/>
                <w:szCs w:val="22"/>
                <w:lang w:val="uk-UA"/>
              </w:rPr>
              <w:t xml:space="preserve">Розроблено та затверджено План заходів з охорони праці на 2024 рік. </w:t>
            </w:r>
          </w:p>
          <w:p>
            <w:pPr>
              <w:pStyle w:val="Normal"/>
              <w:jc w:val="both"/>
              <w:rPr>
                <w:sz w:val="22"/>
                <w:szCs w:val="22"/>
                <w:lang w:val="uk-UA"/>
              </w:rPr>
            </w:pPr>
            <w:r>
              <w:rPr>
                <w:sz w:val="22"/>
                <w:szCs w:val="22"/>
                <w:lang w:val="uk-UA"/>
              </w:rPr>
              <w:t>Особовий склад забезпечується спеціальним одягом та захисним взуттям.</w:t>
            </w:r>
          </w:p>
          <w:p>
            <w:pPr>
              <w:pStyle w:val="Normal"/>
              <w:jc w:val="both"/>
              <w:rPr/>
            </w:pPr>
            <w:r>
              <w:rPr>
                <w:sz w:val="22"/>
                <w:szCs w:val="22"/>
                <w:lang w:val="uk-UA"/>
              </w:rPr>
              <w:t>План впровадження монтажу систем пожежної сигналізації та систем пожежогасіння на Підприємстві розробляється.</w:t>
            </w:r>
            <w:r>
              <w:rPr/>
              <w:t xml:space="preserve"> </w:t>
            </w:r>
          </w:p>
        </w:tc>
      </w:tr>
    </w:tbl>
    <w:p>
      <w:pPr>
        <w:pStyle w:val="Normal"/>
        <w:rPr>
          <w:lang w:val="uk-UA"/>
        </w:rPr>
      </w:pPr>
      <w:r>
        <w:rPr>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2522"/>
        <w:gridCol w:w="1188"/>
        <w:gridCol w:w="1244"/>
        <w:gridCol w:w="1"/>
        <w:gridCol w:w="2473"/>
        <w:gridCol w:w="2210"/>
      </w:tblGrid>
      <w:tr>
        <w:trPr/>
        <w:tc>
          <w:tcPr>
            <w:tcW w:w="9638" w:type="dxa"/>
            <w:gridSpan w:val="6"/>
            <w:tcBorders>
              <w:top w:val="single" w:sz="4" w:space="0" w:color="000000"/>
              <w:left w:val="single" w:sz="4" w:space="0" w:color="000000"/>
              <w:bottom w:val="single" w:sz="4" w:space="0" w:color="000000"/>
              <w:right w:val="single" w:sz="4" w:space="0" w:color="000000"/>
            </w:tcBorders>
            <w:shd w:color="auto" w:fill="000000" w:val="clear"/>
          </w:tcPr>
          <w:p>
            <w:pPr>
              <w:pStyle w:val="Normal"/>
              <w:rPr>
                <w:sz w:val="22"/>
                <w:szCs w:val="22"/>
              </w:rPr>
            </w:pPr>
            <w:r>
              <w:rPr>
                <w:b/>
                <w:bCs/>
                <w:sz w:val="22"/>
                <w:szCs w:val="22"/>
                <w:lang w:val="uk-UA"/>
              </w:rPr>
              <w:t>4. Дані Екологічного Моніторингу</w:t>
            </w:r>
          </w:p>
        </w:tc>
      </w:tr>
      <w:tr>
        <w:trPr/>
        <w:tc>
          <w:tcPr>
            <w:tcW w:w="4955" w:type="dxa"/>
            <w:gridSpan w:val="4"/>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Будь ласка, надайте ПІБ і контактну інформацію вашого менеджера з питань екології:</w:t>
            </w:r>
          </w:p>
        </w:tc>
        <w:tc>
          <w:tcPr>
            <w:tcW w:w="4683"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rPr>
                <w:sz w:val="22"/>
                <w:szCs w:val="22"/>
                <w:lang w:val="uk-UA"/>
              </w:rPr>
            </w:pPr>
            <w:r>
              <w:rPr>
                <w:sz w:val="22"/>
                <w:szCs w:val="22"/>
                <w:lang w:val="uk-UA"/>
              </w:rPr>
              <w:t>Романишин Лілія Тарасівна – відповідальна за ведення документації з питань екології</w:t>
            </w:r>
          </w:p>
        </w:tc>
      </w:tr>
      <w:tr>
        <w:trPr/>
        <w:tc>
          <w:tcPr>
            <w:tcW w:w="2522"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Найменування</w:t>
            </w:r>
          </w:p>
        </w:tc>
        <w:tc>
          <w:tcPr>
            <w:tcW w:w="1188"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Кількість</w:t>
            </w:r>
          </w:p>
        </w:tc>
        <w:tc>
          <w:tcPr>
            <w:tcW w:w="1244"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Од.виміру</w:t>
            </w:r>
          </w:p>
        </w:tc>
        <w:tc>
          <w:tcPr>
            <w:tcW w:w="2474" w:type="dxa"/>
            <w:gridSpan w:val="2"/>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Відповідність Нормам</w:t>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jc w:val="center"/>
              <w:rPr>
                <w:sz w:val="22"/>
                <w:szCs w:val="22"/>
              </w:rPr>
            </w:pPr>
            <w:r>
              <w:rPr>
                <w:b/>
                <w:sz w:val="22"/>
                <w:szCs w:val="22"/>
                <w:lang w:val="uk-UA"/>
              </w:rPr>
              <w:t>Примітки</w:t>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b/>
                <w:sz w:val="22"/>
                <w:szCs w:val="22"/>
                <w:lang w:val="uk-UA"/>
              </w:rPr>
              <w:t>Стічні Води</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
                <w:b/>
                <w:sz w:val="22"/>
                <w:szCs w:val="22"/>
                <w:lang w:val="uk-UA"/>
              </w:rPr>
            </w:pPr>
            <w:r>
              <w:rPr>
                <w:sz w:val="22"/>
                <w:szCs w:val="22"/>
                <w:lang w:val="uk-UA"/>
              </w:rPr>
              <w:t xml:space="preserve">Загальна к-кість вироблених стічних вод </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bCs/>
                <w:sz w:val="22"/>
                <w:szCs w:val="22"/>
                <w:lang w:val="uk-UA"/>
              </w:rPr>
            </w:pPr>
            <w:r>
              <w:rPr>
                <w:bCs/>
                <w:sz w:val="22"/>
                <w:szCs w:val="22"/>
                <w:lang w:val="uk-UA"/>
              </w:rPr>
              <w:t>23584,06</w:t>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bCs/>
                <w:sz w:val="22"/>
                <w:szCs w:val="22"/>
                <w:lang w:val="uk-UA"/>
              </w:rPr>
            </w:pPr>
            <w:r>
              <w:rPr>
                <w:bCs/>
                <w:sz w:val="22"/>
                <w:szCs w:val="22"/>
                <w:lang w:val="uk-UA"/>
              </w:rPr>
              <w:t>м куб.</w:t>
            </w:r>
          </w:p>
        </w:tc>
        <w:tc>
          <w:tcPr>
            <w:tcW w:w="2474"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bCs/>
                <w:sz w:val="22"/>
                <w:szCs w:val="22"/>
                <w:lang w:val="uk-UA"/>
              </w:rPr>
            </w:pPr>
            <w:r>
              <w:rPr>
                <w:bCs/>
                <w:sz w:val="22"/>
                <w:szCs w:val="22"/>
                <w:lang w:val="uk-UA"/>
              </w:rPr>
              <w:t xml:space="preserve">Не нормується, </w:t>
            </w:r>
          </w:p>
          <w:p>
            <w:pPr>
              <w:pStyle w:val="Normal"/>
              <w:snapToGrid w:val="false"/>
              <w:jc w:val="center"/>
              <w:rPr>
                <w:bCs/>
                <w:sz w:val="22"/>
                <w:szCs w:val="22"/>
                <w:lang w:val="uk-UA"/>
              </w:rPr>
            </w:pPr>
            <w:r>
              <w:rPr>
                <w:bCs/>
                <w:sz w:val="22"/>
                <w:szCs w:val="22"/>
                <w:lang w:val="uk-UA"/>
              </w:rPr>
              <w:t>відповідно до договору з КП «Тернопільводоканал»</w:t>
            </w:r>
          </w:p>
        </w:tc>
        <w:tc>
          <w:tcPr>
            <w:tcW w:w="2210" w:type="dxa"/>
            <w:tcBorders>
              <w:top w:val="single" w:sz="4" w:space="0" w:color="000000"/>
              <w:left w:val="single" w:sz="4" w:space="0" w:color="000000"/>
              <w:bottom w:val="single" w:sz="4" w:space="0" w:color="000000"/>
              <w:right w:val="single" w:sz="4" w:space="0" w:color="000000"/>
            </w:tcBorders>
            <w:shd w:fill="auto" w:val="clear"/>
            <w:vAlign w:val="center"/>
          </w:tcPr>
          <w:p>
            <w:pPr>
              <w:pStyle w:val="Normal"/>
              <w:snapToGrid w:val="false"/>
              <w:rPr>
                <w:sz w:val="22"/>
                <w:szCs w:val="22"/>
                <w:lang w:val="uk-UA"/>
              </w:rPr>
            </w:pPr>
            <w:r>
              <w:rPr>
                <w:sz w:val="22"/>
                <w:szCs w:val="22"/>
                <w:lang w:val="uk-UA"/>
              </w:rPr>
              <w:t xml:space="preserve">Водовідведення </w:t>
            </w:r>
            <w:r>
              <w:rPr>
                <w:bCs/>
                <w:sz w:val="22"/>
                <w:szCs w:val="22"/>
                <w:lang w:val="uk-UA"/>
              </w:rPr>
              <w:t xml:space="preserve">КП «ТЕТ» </w:t>
            </w:r>
            <w:r>
              <w:rPr>
                <w:sz w:val="22"/>
                <w:szCs w:val="22"/>
                <w:lang w:val="uk-UA"/>
              </w:rPr>
              <w:t xml:space="preserve"> за 2024 р. – це загальний обсяг стічних вод, відведених (скинутих) підприємством у систему каналізації. Ця кількість включає також атмосферні зливові стічні води 487,87 м куб за 2024 р. – обсяг дощової та талої води (зливи), яка потрапляє на територію </w:t>
            </w:r>
            <w:r>
              <w:rPr>
                <w:bCs/>
                <w:sz w:val="22"/>
                <w:szCs w:val="22"/>
                <w:lang w:val="uk-UA"/>
              </w:rPr>
              <w:t>КП «ТЕТ»</w:t>
            </w:r>
            <w:r>
              <w:rPr>
                <w:sz w:val="22"/>
                <w:szCs w:val="22"/>
                <w:lang w:val="uk-UA"/>
              </w:rPr>
              <w:t>, стікає з дахів та асфальтованих (твердих) покриттів і скидається в каналізаційну мережу</w:t>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bCs/>
                <w:sz w:val="22"/>
                <w:szCs w:val="22"/>
                <w:lang w:val="uk-UA"/>
              </w:rPr>
              <w:t xml:space="preserve">Біохімічна потреба в кисні, </w:t>
            </w:r>
            <w:r>
              <w:rPr>
                <w:sz w:val="22"/>
                <w:szCs w:val="22"/>
                <w:lang w:val="uk-UA"/>
              </w:rPr>
              <w:t>БПК</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restart"/>
            <w:tcBorders>
              <w:top w:val="single" w:sz="4" w:space="0" w:color="000000"/>
              <w:left w:val="single" w:sz="4" w:space="0" w:color="000000"/>
              <w:right w:val="single" w:sz="4" w:space="0" w:color="000000"/>
            </w:tcBorders>
            <w:shd w:fill="auto" w:val="clear"/>
          </w:tcPr>
          <w:p>
            <w:pPr>
              <w:pStyle w:val="Normal"/>
              <w:snapToGrid w:val="false"/>
              <w:jc w:val="center"/>
              <w:rPr>
                <w:bCs/>
                <w:sz w:val="22"/>
                <w:szCs w:val="22"/>
                <w:lang w:val="uk-UA"/>
              </w:rPr>
            </w:pPr>
            <w:r>
              <w:rPr>
                <w:bCs/>
                <w:sz w:val="22"/>
                <w:szCs w:val="22"/>
                <w:lang w:val="uk-UA"/>
              </w:rPr>
              <w:t>Вимоги до якості скидів встановлено Правилами приймання стічних вод</w:t>
            </w:r>
            <w:r>
              <w:rPr>
                <w:rStyle w:val="Style12"/>
                <w:bCs/>
                <w:sz w:val="22"/>
                <w:szCs w:val="22"/>
                <w:lang w:val="uk-UA"/>
              </w:rPr>
              <w:footnoteReference w:id="5"/>
            </w:r>
            <w:r>
              <w:rPr>
                <w:bCs/>
                <w:sz w:val="22"/>
                <w:szCs w:val="22"/>
                <w:lang w:val="uk-UA"/>
              </w:rPr>
              <w:t>.</w:t>
            </w:r>
          </w:p>
          <w:p>
            <w:pPr>
              <w:pStyle w:val="Normal"/>
              <w:snapToGrid w:val="false"/>
              <w:jc w:val="center"/>
              <w:rPr>
                <w:bCs/>
                <w:sz w:val="22"/>
                <w:szCs w:val="22"/>
                <w:lang w:val="uk-UA"/>
              </w:rPr>
            </w:pPr>
            <w:r>
              <w:rPr>
                <w:bCs/>
                <w:sz w:val="22"/>
                <w:szCs w:val="22"/>
                <w:lang w:val="uk-UA"/>
              </w:rPr>
            </w:r>
          </w:p>
          <w:p>
            <w:pPr>
              <w:pStyle w:val="Normal"/>
              <w:snapToGrid w:val="false"/>
              <w:jc w:val="center"/>
              <w:rPr>
                <w:b/>
                <w:b/>
                <w:sz w:val="22"/>
                <w:szCs w:val="22"/>
                <w:lang w:val="uk-UA"/>
              </w:rPr>
            </w:pPr>
            <w:r>
              <w:rPr>
                <w:bCs/>
                <w:sz w:val="22"/>
                <w:szCs w:val="22"/>
                <w:lang w:val="uk-UA"/>
              </w:rPr>
              <w:t xml:space="preserve">Не моніториться у поточній роботі КП «ТЕТ», однак буде впроваджено на наступних етапах реалізації проєкту відповідно до </w:t>
            </w:r>
            <w:r>
              <w:rPr>
                <w:bCs/>
                <w:sz w:val="22"/>
                <w:szCs w:val="22"/>
                <w:lang w:val="en-US"/>
              </w:rPr>
              <w:t>ESAP</w:t>
            </w:r>
          </w:p>
        </w:tc>
        <w:tc>
          <w:tcPr>
            <w:tcW w:w="2210" w:type="dxa"/>
            <w:vMerge w:val="restart"/>
            <w:tcBorders>
              <w:top w:val="single" w:sz="4" w:space="0" w:color="000000"/>
              <w:left w:val="single" w:sz="4" w:space="0" w:color="000000"/>
              <w:right w:val="single" w:sz="4" w:space="0" w:color="000000"/>
            </w:tcBorders>
            <w:shd w:fill="auto" w:val="clear"/>
          </w:tcPr>
          <w:p>
            <w:pPr>
              <w:pStyle w:val="Normal"/>
              <w:snapToGrid w:val="false"/>
              <w:rPr>
                <w:bCs/>
                <w:sz w:val="22"/>
                <w:szCs w:val="22"/>
                <w:lang w:val="uk-UA"/>
              </w:rPr>
            </w:pPr>
            <w:r>
              <w:rPr>
                <w:bCs/>
                <w:sz w:val="22"/>
                <w:szCs w:val="22"/>
                <w:lang w:val="uk-UA"/>
              </w:rPr>
              <w:t>КП «ТЕТ» застосовує ризик-орієнтований підхід, коли відсутність регулярного лабораторного контролю якості стічних вод КП «ТЕТ» пояснюється низьким профілем ризику промислового забруднення, оскільки діяльність КП «ТЕТ» переважно генерує господарсько-побутові стоки, без значного виробничого компоненту, технологічний процес не передбачає використання значної кількості хімічно небезпечних речовин</w:t>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Хімічна потреба в кисні, ХПК</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Зважені тверді частки</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Фосфор</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Нітрат</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 xml:space="preserve">Важкі метали </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
                <w:b/>
                <w:sz w:val="22"/>
                <w:szCs w:val="22"/>
                <w:lang w:val="uk-UA"/>
              </w:rPr>
            </w:pPr>
            <w:r>
              <w:rPr>
                <w:sz w:val="22"/>
                <w:szCs w:val="22"/>
                <w:lang w:val="uk-UA"/>
              </w:rPr>
              <w:t>Інше</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474" w:type="dxa"/>
            <w:gridSpan w:val="2"/>
            <w:vMerge w:val="continue"/>
            <w:tcBorders>
              <w:left w:val="single" w:sz="4" w:space="0" w:color="000000"/>
              <w:bottom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left w:val="single" w:sz="4" w:space="0" w:color="000000"/>
              <w:bottom w:val="single" w:sz="4" w:space="0" w:color="000000"/>
              <w:right w:val="single" w:sz="4" w:space="0" w:color="000000"/>
            </w:tcBorders>
            <w:shd w:fill="auto" w:val="clear"/>
            <w:vAlign w:val="cente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b/>
                <w:sz w:val="22"/>
                <w:szCs w:val="22"/>
                <w:lang w:val="uk-UA"/>
              </w:rPr>
              <w:t>Викиди в атмосферу</w:t>
            </w:r>
            <w:r>
              <w:rPr>
                <w:rStyle w:val="Style12"/>
                <w:b/>
                <w:sz w:val="22"/>
                <w:szCs w:val="22"/>
                <w:lang w:val="uk-UA"/>
              </w:rPr>
              <w:footnoteReference w:id="6"/>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spacing w:lineRule="auto" w:line="360"/>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b/>
                <w:b/>
                <w:sz w:val="22"/>
                <w:szCs w:val="22"/>
                <w:lang w:val="uk-UA"/>
              </w:rPr>
            </w:pPr>
            <w:r>
              <w:rPr>
                <w:b/>
                <w:sz w:val="22"/>
                <w:szCs w:val="22"/>
                <w:lang w:val="uk-UA"/>
              </w:rPr>
            </w:r>
          </w:p>
        </w:tc>
        <w:tc>
          <w:tcPr>
            <w:tcW w:w="2474" w:type="dxa"/>
            <w:gridSpan w:val="2"/>
            <w:vMerge w:val="restart"/>
            <w:tcBorders>
              <w:top w:val="single" w:sz="4" w:space="0" w:color="000000"/>
              <w:left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 xml:space="preserve">КП «ТЕТ» має дозвіл на викиди в атмосферне повітря стаціонарними джерелами (дозвіл № 6110100000-68), термін дії якого відповідно до чинного національного законодавства є необмеженим (Додаток 11). Відповідно до цього дозволу у розрізі джерел (дж.) забруднення встановлено такі нормативи: </w:t>
            </w:r>
          </w:p>
          <w:p>
            <w:pPr>
              <w:pStyle w:val="Normal"/>
              <w:snapToGrid w:val="false"/>
              <w:rPr>
                <w:sz w:val="22"/>
                <w:szCs w:val="22"/>
                <w:lang w:val="uk-UA"/>
              </w:rPr>
            </w:pPr>
            <w:r>
              <w:rPr>
                <w:sz w:val="22"/>
                <w:szCs w:val="22"/>
                <w:lang w:val="uk-UA"/>
              </w:rPr>
              <w:t>1) для поста електрозварювання (дж. № 1) нормативи граничнодопустимих викидів:</w:t>
            </w:r>
          </w:p>
          <w:p>
            <w:pPr>
              <w:pStyle w:val="Normal"/>
              <w:snapToGrid w:val="false"/>
              <w:rPr>
                <w:sz w:val="22"/>
                <w:szCs w:val="22"/>
                <w:lang w:val="uk-UA"/>
              </w:rPr>
            </w:pPr>
            <w:r>
              <w:rPr>
                <w:sz w:val="22"/>
                <w:szCs w:val="22"/>
                <w:lang w:val="uk-UA"/>
              </w:rPr>
              <w:t>залізо га його сполуки (у перерахунку на залізо) – 0,0006 г/с;</w:t>
            </w:r>
          </w:p>
          <w:p>
            <w:pPr>
              <w:pStyle w:val="Normal"/>
              <w:snapToGrid w:val="false"/>
              <w:rPr>
                <w:sz w:val="22"/>
                <w:szCs w:val="22"/>
                <w:lang w:val="uk-UA"/>
              </w:rPr>
            </w:pPr>
            <w:r>
              <w:rPr>
                <w:sz w:val="22"/>
                <w:szCs w:val="22"/>
                <w:lang w:val="uk-UA"/>
              </w:rPr>
              <w:t>манган та його сполуки (у перерахунку на манган) – 0,0050 г/с;</w:t>
            </w:r>
          </w:p>
          <w:p>
            <w:pPr>
              <w:pStyle w:val="Normal"/>
              <w:snapToGrid w:val="false"/>
              <w:rPr>
                <w:sz w:val="22"/>
                <w:szCs w:val="22"/>
                <w:lang w:val="uk-UA"/>
              </w:rPr>
            </w:pPr>
            <w:r>
              <w:rPr>
                <w:sz w:val="22"/>
                <w:szCs w:val="22"/>
                <w:lang w:val="uk-UA"/>
              </w:rPr>
              <w:t>2) для труби ГОУ від столярного цеху (дж. № 3), дільниці зарядки акумуляторів (дж. № 4), та ковальського горна (дж. № 10) затверджений граничнодопустимий викид речовин у вигляді суспендованих твердих частинок, недиференційованих за складом – 150 мг/м3;</w:t>
            </w:r>
          </w:p>
          <w:p>
            <w:pPr>
              <w:pStyle w:val="Normal"/>
              <w:snapToGrid w:val="false"/>
              <w:rPr>
                <w:sz w:val="22"/>
                <w:szCs w:val="22"/>
                <w:lang w:val="uk-UA"/>
              </w:rPr>
            </w:pPr>
            <w:r>
              <w:rPr>
                <w:sz w:val="22"/>
                <w:szCs w:val="22"/>
                <w:lang w:val="uk-UA"/>
              </w:rPr>
              <w:t>3) для ковальського горна (дж. № 10) для речовин, на які не встановлені нормативи граничнодопустимих викидів відповідно до законодавства, такі величини масової витрати (г/сек):</w:t>
            </w:r>
          </w:p>
          <w:p>
            <w:pPr>
              <w:pStyle w:val="Normal"/>
              <w:snapToGrid w:val="false"/>
              <w:rPr>
                <w:sz w:val="22"/>
                <w:szCs w:val="22"/>
                <w:lang w:val="uk-UA"/>
              </w:rPr>
            </w:pPr>
            <w:r>
              <w:rPr>
                <w:sz w:val="22"/>
                <w:szCs w:val="22"/>
                <w:lang w:val="uk-UA"/>
              </w:rPr>
              <w:t>оксиди азоту (у перерахунку на діоксид азоту (NО + NО</w:t>
            </w:r>
            <w:r>
              <w:rPr>
                <w:sz w:val="22"/>
                <w:szCs w:val="22"/>
                <w:vertAlign w:val="subscript"/>
                <w:lang w:val="uk-UA"/>
              </w:rPr>
              <w:t>2</w:t>
            </w:r>
            <w:r>
              <w:rPr>
                <w:sz w:val="22"/>
                <w:szCs w:val="22"/>
                <w:lang w:val="uk-UA"/>
              </w:rPr>
              <w:t>)) – 0,0038 г/с;</w:t>
            </w:r>
          </w:p>
          <w:p>
            <w:pPr>
              <w:pStyle w:val="Normal"/>
              <w:snapToGrid w:val="false"/>
              <w:rPr>
                <w:sz w:val="22"/>
                <w:szCs w:val="22"/>
                <w:lang w:val="uk-UA"/>
              </w:rPr>
            </w:pPr>
            <w:r>
              <w:rPr>
                <w:sz w:val="22"/>
                <w:szCs w:val="22"/>
                <w:lang w:val="uk-UA"/>
              </w:rPr>
              <w:t>сірки діоксид – 0,0026 г/с;</w:t>
            </w:r>
          </w:p>
          <w:p>
            <w:pPr>
              <w:pStyle w:val="Normal"/>
              <w:snapToGrid w:val="false"/>
              <w:rPr>
                <w:sz w:val="22"/>
                <w:szCs w:val="22"/>
                <w:lang w:val="uk-UA"/>
              </w:rPr>
            </w:pPr>
            <w:r>
              <w:rPr>
                <w:sz w:val="22"/>
                <w:szCs w:val="22"/>
                <w:lang w:val="uk-UA"/>
              </w:rPr>
              <w:t>оксид вуглецю – 0,0185 г/с;</w:t>
            </w:r>
          </w:p>
          <w:p>
            <w:pPr>
              <w:pStyle w:val="Normal"/>
              <w:snapToGrid w:val="false"/>
              <w:rPr>
                <w:sz w:val="22"/>
                <w:szCs w:val="22"/>
                <w:lang w:val="uk-UA"/>
              </w:rPr>
            </w:pPr>
            <w:r>
              <w:rPr>
                <w:sz w:val="22"/>
                <w:szCs w:val="22"/>
                <w:lang w:val="uk-UA"/>
              </w:rPr>
              <w:t>4) для витяжки від цеху вулканізації резинових камер (дж. № 12) величина масової витрати:</w:t>
            </w:r>
          </w:p>
          <w:p>
            <w:pPr>
              <w:pStyle w:val="Normal"/>
              <w:snapToGrid w:val="false"/>
              <w:rPr>
                <w:sz w:val="22"/>
                <w:szCs w:val="22"/>
                <w:lang w:val="uk-UA"/>
              </w:rPr>
            </w:pPr>
            <w:r>
              <w:rPr>
                <w:sz w:val="22"/>
                <w:szCs w:val="22"/>
                <w:lang w:val="uk-UA"/>
              </w:rPr>
              <w:t>оксид вуглецю – 0,0067 г/с;</w:t>
            </w:r>
          </w:p>
          <w:p>
            <w:pPr>
              <w:pStyle w:val="Normal"/>
              <w:snapToGrid w:val="false"/>
              <w:rPr>
                <w:sz w:val="22"/>
                <w:szCs w:val="22"/>
                <w:lang w:val="uk-UA"/>
              </w:rPr>
            </w:pPr>
            <w:r>
              <w:rPr>
                <w:sz w:val="22"/>
                <w:szCs w:val="22"/>
                <w:lang w:val="uk-UA"/>
              </w:rPr>
              <w:t>5) для витяжки від цеху лиття пласі масових виробів (дж. № 13):</w:t>
            </w:r>
          </w:p>
          <w:p>
            <w:pPr>
              <w:pStyle w:val="Normal"/>
              <w:snapToGrid w:val="false"/>
              <w:rPr>
                <w:sz w:val="22"/>
                <w:szCs w:val="22"/>
                <w:lang w:val="uk-UA"/>
              </w:rPr>
            </w:pPr>
            <w:r>
              <w:rPr>
                <w:sz w:val="22"/>
                <w:szCs w:val="22"/>
                <w:lang w:val="uk-UA"/>
              </w:rPr>
              <w:t>оксид вуглецю – 0,0138  г/с;</w:t>
            </w:r>
          </w:p>
          <w:p>
            <w:pPr>
              <w:pStyle w:val="Normal"/>
              <w:snapToGrid w:val="false"/>
              <w:rPr>
                <w:sz w:val="22"/>
                <w:szCs w:val="22"/>
                <w:lang w:val="uk-UA"/>
              </w:rPr>
            </w:pPr>
            <w:r>
              <w:rPr>
                <w:sz w:val="22"/>
                <w:szCs w:val="22"/>
                <w:lang w:val="uk-UA"/>
              </w:rPr>
              <w:t>аміак – 0,0108 г/с;</w:t>
            </w:r>
          </w:p>
          <w:p>
            <w:pPr>
              <w:pStyle w:val="Normal"/>
              <w:snapToGrid w:val="false"/>
              <w:rPr>
                <w:sz w:val="22"/>
                <w:szCs w:val="22"/>
                <w:lang w:val="uk-UA"/>
              </w:rPr>
            </w:pPr>
            <w:r>
              <w:rPr>
                <w:sz w:val="22"/>
                <w:szCs w:val="22"/>
                <w:lang w:val="uk-UA"/>
              </w:rPr>
              <w:t>6) для неорганізованих джерел викидів № 2, 6, 7, 8 нормативи граничнодопустимих викидів не встановлюються.</w:t>
            </w:r>
          </w:p>
          <w:p>
            <w:pPr>
              <w:pStyle w:val="Normal"/>
              <w:rPr>
                <w:bCs/>
                <w:sz w:val="22"/>
                <w:szCs w:val="22"/>
                <w:lang w:val="uk-UA"/>
              </w:rPr>
            </w:pPr>
            <w:r>
              <w:rPr>
                <w:bCs/>
                <w:sz w:val="22"/>
                <w:szCs w:val="22"/>
                <w:lang w:val="uk-UA"/>
              </w:rPr>
            </w:r>
          </w:p>
          <w:p>
            <w:pPr>
              <w:pStyle w:val="Normal"/>
              <w:rPr>
                <w:bCs/>
                <w:sz w:val="22"/>
                <w:szCs w:val="22"/>
                <w:lang w:val="uk-UA"/>
              </w:rPr>
            </w:pPr>
            <w:r>
              <w:rPr>
                <w:bCs/>
                <w:sz w:val="22"/>
                <w:szCs w:val="22"/>
                <w:lang w:val="uk-UA"/>
              </w:rPr>
              <w:t>Рівні впливу інших видів забруднюючих речовин регулюються Державними медико-санітарними нормативвми «Орієнтовно безпечні рівні впливу хімічних і біологічних речовин в атмосферному повітрі населених місць» затверджено Наказом МОЗ України 10 травня 2024 року № 813, зареєстровано в Міністерстві юстиції України 24 травня 2024 р. за № 764/42109</w:t>
            </w:r>
            <w:r>
              <w:rPr>
                <w:rStyle w:val="Style12"/>
                <w:bCs/>
                <w:sz w:val="22"/>
                <w:szCs w:val="22"/>
                <w:lang w:val="uk-UA"/>
              </w:rPr>
              <w:footnoteReference w:id="7"/>
            </w:r>
            <w:r>
              <w:rPr>
                <w:bCs/>
                <w:sz w:val="22"/>
                <w:szCs w:val="22"/>
                <w:lang w:val="uk-UA"/>
              </w:rPr>
              <w:t>.</w:t>
            </w:r>
          </w:p>
          <w:p>
            <w:pPr>
              <w:pStyle w:val="Normal"/>
              <w:rPr>
                <w:bCs/>
                <w:sz w:val="22"/>
                <w:szCs w:val="22"/>
                <w:lang w:val="uk-UA"/>
              </w:rPr>
            </w:pPr>
            <w:r>
              <w:rPr>
                <w:bCs/>
                <w:sz w:val="22"/>
                <w:szCs w:val="22"/>
                <w:lang w:val="uk-UA"/>
              </w:rPr>
            </w:r>
          </w:p>
          <w:p>
            <w:pPr>
              <w:pStyle w:val="Normal"/>
              <w:rPr>
                <w:bCs/>
                <w:sz w:val="22"/>
                <w:szCs w:val="22"/>
                <w:lang w:val="uk-UA"/>
              </w:rPr>
            </w:pPr>
            <w:r>
              <w:rPr>
                <w:bCs/>
                <w:sz w:val="22"/>
                <w:szCs w:val="22"/>
                <w:lang w:val="uk-UA"/>
              </w:rPr>
              <w:t xml:space="preserve">Прямих вимірювань КП «ТЕТ» рівнів впливу хімічних і біологічних речовин в атмосферному повітрі безпосередньо не проводить, однак </w:t>
            </w:r>
            <w:bookmarkStart w:id="0" w:name="_Hlk211342005"/>
            <w:r>
              <w:rPr>
                <w:bCs/>
                <w:sz w:val="22"/>
                <w:szCs w:val="22"/>
                <w:lang w:val="uk-UA"/>
              </w:rPr>
              <w:t>дані про стан атмосферного повітря у місті Тернопіль системи SaveEcoBot</w:t>
            </w:r>
            <w:bookmarkEnd w:id="0"/>
            <w:r>
              <w:rPr>
                <w:rStyle w:val="Style12"/>
                <w:bCs/>
                <w:sz w:val="22"/>
                <w:szCs w:val="22"/>
                <w:lang w:val="uk-UA"/>
              </w:rPr>
              <w:footnoteReference w:id="8"/>
            </w:r>
            <w:r>
              <w:rPr>
                <w:bCs/>
                <w:sz w:val="22"/>
                <w:szCs w:val="22"/>
                <w:lang w:val="uk-UA"/>
              </w:rPr>
              <w:t>, котра їх збирає з 5 онлайн станцій моніторингу, свідчать про те, що протягом звітного періоду Індекс якості атмосферного повітря, розрахований за формулою NowCast (US EPA) для головного забрудника повітря – дрібнодисперсного пилу фракції 2,5 мікрона, у м. Тернопіль, включаючи територію поряд із КП «ТЕТ», характеризувався як добрий рівень забруднення атмосферного повітря, який має мінімальний вплив на здоров’я людей (Додаток 12)</w:t>
            </w:r>
          </w:p>
        </w:tc>
        <w:tc>
          <w:tcPr>
            <w:tcW w:w="2210" w:type="dxa"/>
            <w:vMerge w:val="restart"/>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 xml:space="preserve">У звітному періоді не було виявлено перевищення встановлених нормативів викидів. </w:t>
            </w:r>
          </w:p>
          <w:p>
            <w:pPr>
              <w:pStyle w:val="Normal"/>
              <w:snapToGrid w:val="false"/>
              <w:rPr>
                <w:sz w:val="22"/>
                <w:szCs w:val="22"/>
                <w:lang w:val="uk-UA"/>
              </w:rPr>
            </w:pPr>
            <w:r>
              <w:rPr>
                <w:sz w:val="22"/>
                <w:szCs w:val="22"/>
                <w:lang w:val="uk-UA"/>
              </w:rPr>
            </w:r>
          </w:p>
          <w:p>
            <w:pPr>
              <w:pStyle w:val="Normal"/>
              <w:snapToGrid w:val="false"/>
              <w:rPr>
                <w:sz w:val="22"/>
                <w:szCs w:val="22"/>
                <w:lang w:val="uk-UA"/>
              </w:rPr>
            </w:pPr>
            <w:r>
              <w:rPr>
                <w:sz w:val="22"/>
                <w:szCs w:val="22"/>
                <w:lang w:val="uk-UA"/>
              </w:rPr>
              <w:t>При цьому облік викидів в атмосферу</w:t>
            </w:r>
            <w:r>
              <w:rPr>
                <w:sz w:val="22"/>
                <w:szCs w:val="22"/>
              </w:rPr>
              <w:t xml:space="preserve"> </w:t>
            </w:r>
            <w:r>
              <w:rPr>
                <w:sz w:val="22"/>
                <w:szCs w:val="22"/>
                <w:lang w:val="uk-UA"/>
              </w:rPr>
              <w:t xml:space="preserve">стаціонарними джерелами забруднення здійснюється </w:t>
            </w:r>
            <w:r>
              <w:rPr>
                <w:bCs/>
                <w:sz w:val="22"/>
                <w:szCs w:val="22"/>
                <w:lang w:val="uk-UA"/>
              </w:rPr>
              <w:t xml:space="preserve">КП «ТЕТ» </w:t>
            </w:r>
            <w:r>
              <w:rPr>
                <w:sz w:val="22"/>
                <w:szCs w:val="22"/>
                <w:lang w:val="uk-UA"/>
              </w:rPr>
              <w:t>відповідно до чинного законодавства України, у т. ч. з метою сплати екологічного податку відповідно до Податкового кодексу України (ст. 240-243).</w:t>
            </w:r>
          </w:p>
          <w:p>
            <w:pPr>
              <w:pStyle w:val="Normal"/>
              <w:snapToGrid w:val="false"/>
              <w:rPr>
                <w:sz w:val="22"/>
                <w:szCs w:val="22"/>
                <w:lang w:val="uk-UA"/>
              </w:rPr>
            </w:pPr>
            <w:r>
              <w:rPr>
                <w:sz w:val="22"/>
                <w:szCs w:val="22"/>
                <w:lang w:val="uk-UA"/>
              </w:rPr>
            </w:r>
          </w:p>
          <w:p>
            <w:pPr>
              <w:pStyle w:val="Normal"/>
              <w:snapToGrid w:val="false"/>
              <w:rPr>
                <w:sz w:val="22"/>
                <w:szCs w:val="22"/>
                <w:lang w:val="uk-UA"/>
              </w:rPr>
            </w:pPr>
            <w:r>
              <w:rPr>
                <w:sz w:val="22"/>
                <w:szCs w:val="22"/>
                <w:lang w:val="uk-UA"/>
              </w:rPr>
              <w:t>Облік викидів у звітному періоді здійснювався без деталізації речовин, а комплексно (Додаток 13) відповідно до наказу Міністерства екології та природних ресурсів України № 104 від 14.03.2002, зареєстровано в Міністерстві юстиції України 1 квітня 2002 р. за № 322/6610 «Про затвердження Переліку речовин, які входять до «твердих речовин» та «вуглеводнів» і за викиди яких справляється збір»</w:t>
            </w:r>
            <w:r>
              <w:rPr>
                <w:rStyle w:val="Style12"/>
                <w:sz w:val="22"/>
                <w:szCs w:val="22"/>
                <w:lang w:val="uk-UA"/>
              </w:rPr>
              <w:footnoteReference w:id="9"/>
            </w:r>
            <w:r>
              <w:rPr>
                <w:sz w:val="22"/>
                <w:szCs w:val="22"/>
                <w:lang w:val="uk-UA"/>
              </w:rPr>
              <w:t>.</w:t>
            </w:r>
          </w:p>
          <w:p>
            <w:pPr>
              <w:pStyle w:val="Normal"/>
              <w:snapToGrid w:val="false"/>
              <w:rPr>
                <w:sz w:val="22"/>
                <w:szCs w:val="22"/>
                <w:lang w:val="uk-UA"/>
              </w:rPr>
            </w:pPr>
            <w:r>
              <w:rPr>
                <w:sz w:val="22"/>
                <w:szCs w:val="22"/>
                <w:lang w:val="uk-UA"/>
              </w:rPr>
            </w:r>
          </w:p>
          <w:p>
            <w:pPr>
              <w:pStyle w:val="Normal"/>
              <w:rPr>
                <w:bCs/>
                <w:sz w:val="22"/>
                <w:szCs w:val="22"/>
                <w:lang w:val="uk-UA"/>
              </w:rPr>
            </w:pPr>
            <w:r>
              <w:rPr>
                <w:bCs/>
                <w:sz w:val="22"/>
                <w:szCs w:val="22"/>
                <w:lang w:val="uk-UA"/>
              </w:rPr>
              <w:t>У подальшому моніторинг викидів забруднюючих речовин буде вдосконалено на наступних етапах реалізації проєкту відповідно до ESAP, а також вжито відповідних заходів щодо їх скорочення та запобігання негативного впливу на довкілля і здоров’я людей.</w:t>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SO</w:t>
            </w:r>
            <w:r>
              <w:rPr>
                <w:sz w:val="22"/>
                <w:szCs w:val="22"/>
                <w:vertAlign w:val="subscript"/>
                <w:lang w:val="uk-UA"/>
              </w:rPr>
              <w:t xml:space="preserve">2  </w:t>
            </w:r>
            <w:r>
              <w:rPr>
                <w:sz w:val="22"/>
                <w:szCs w:val="22"/>
                <w:lang w:val="uk-UA"/>
              </w:rPr>
              <w:t>(Діоксид та інші сполуки сірки)</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spacing w:lineRule="auto" w:line="360"/>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b/>
                <w:b/>
                <w:sz w:val="22"/>
                <w:szCs w:val="22"/>
                <w:lang w:val="uk-UA"/>
              </w:rPr>
            </w:pPr>
            <w:r>
              <w:rPr>
                <w:b/>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both"/>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NO</w:t>
            </w:r>
            <w:r>
              <w:rPr>
                <w:sz w:val="22"/>
                <w:szCs w:val="22"/>
                <w:vertAlign w:val="subscript"/>
                <w:lang w:val="uk-UA"/>
              </w:rPr>
              <w:t>x</w:t>
            </w:r>
            <w:r>
              <w:rPr>
                <w:sz w:val="22"/>
                <w:szCs w:val="22"/>
                <w:lang w:val="uk-UA"/>
              </w:rPr>
              <w:t xml:space="preserve">  (Сполуки азоту, у перерахунку на NO</w:t>
            </w:r>
            <w:r>
              <w:rPr>
                <w:sz w:val="22"/>
                <w:szCs w:val="22"/>
                <w:vertAlign w:val="subscript"/>
                <w:lang w:val="uk-UA"/>
              </w:rPr>
              <w:t>2</w:t>
            </w:r>
            <w:r>
              <w:rPr>
                <w:sz w:val="22"/>
                <w:szCs w:val="22"/>
                <w:lang w:val="uk-UA"/>
              </w:rPr>
              <w:t xml:space="preserve"> )</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b/>
                <w:b/>
                <w:sz w:val="22"/>
                <w:szCs w:val="22"/>
                <w:lang w:val="uk-UA"/>
              </w:rPr>
            </w:pPr>
            <w:r>
              <w:rPr>
                <w:b/>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ind w:right="-114" w:hanging="0"/>
              <w:rPr>
                <w:sz w:val="22"/>
                <w:szCs w:val="22"/>
                <w:lang w:val="uk-UA"/>
              </w:rPr>
            </w:pPr>
            <w:r>
              <w:rPr>
                <w:sz w:val="22"/>
                <w:szCs w:val="22"/>
                <w:lang w:val="uk-UA"/>
              </w:rPr>
              <w:t>Частки (речовини у вигляді твердих суспендованих частинок)</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spacing w:lineRule="auto" w:line="360"/>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b/>
                <w:b/>
                <w:sz w:val="22"/>
                <w:szCs w:val="22"/>
                <w:lang w:val="uk-UA"/>
              </w:rPr>
            </w:pPr>
            <w:r>
              <w:rPr>
                <w:b/>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CO</w:t>
            </w:r>
            <w:r>
              <w:rPr>
                <w:sz w:val="22"/>
                <w:szCs w:val="22"/>
                <w:vertAlign w:val="subscript"/>
                <w:lang w:val="uk-UA"/>
              </w:rPr>
              <w:t>2</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CH</w:t>
            </w:r>
            <w:r>
              <w:rPr>
                <w:sz w:val="22"/>
                <w:szCs w:val="22"/>
                <w:vertAlign w:val="subscript"/>
                <w:lang w:val="uk-UA"/>
              </w:rPr>
              <w:t>4</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rHeight w:val="284" w:hRule="atLeast"/>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N</w:t>
            </w:r>
            <w:r>
              <w:rPr>
                <w:sz w:val="22"/>
                <w:szCs w:val="22"/>
                <w:vertAlign w:val="subscript"/>
                <w:lang w:val="uk-UA"/>
              </w:rPr>
              <w:t>2</w:t>
            </w:r>
            <w:r>
              <w:rPr>
                <w:sz w:val="22"/>
                <w:szCs w:val="22"/>
                <w:lang w:val="uk-UA"/>
              </w:rPr>
              <w:t>O</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pacing w:lineRule="auto" w:line="360"/>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HFC</w:t>
            </w:r>
            <w:r>
              <w:rPr>
                <w:sz w:val="22"/>
                <w:szCs w:val="22"/>
                <w:vertAlign w:val="subscript"/>
                <w:lang w:val="uk-UA"/>
              </w:rPr>
              <w:t>s</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bCs/>
                <w:sz w:val="22"/>
                <w:szCs w:val="22"/>
                <w:lang w:val="uk-UA"/>
              </w:rPr>
            </w:pPr>
            <w:r>
              <w:rPr>
                <w:sz w:val="22"/>
                <w:szCs w:val="22"/>
                <w:lang w:val="uk-UA"/>
              </w:rPr>
              <w:t>PFC</w:t>
            </w:r>
            <w:r>
              <w:rPr>
                <w:sz w:val="22"/>
                <w:szCs w:val="22"/>
                <w:vertAlign w:val="subscript"/>
                <w:lang w:val="uk-UA"/>
              </w:rPr>
              <w:t>s</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bCs/>
                <w:sz w:val="22"/>
                <w:szCs w:val="22"/>
                <w:lang w:val="uk-UA"/>
              </w:rPr>
            </w:pPr>
            <w:r>
              <w:rPr>
                <w:bCs/>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SF</w:t>
            </w:r>
            <w:r>
              <w:rPr>
                <w:sz w:val="22"/>
                <w:szCs w:val="22"/>
                <w:vertAlign w:val="subscript"/>
                <w:lang w:val="uk-UA"/>
              </w:rPr>
              <w:t>6</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Тверді речовини</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0,0097</w:t>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т</w:t>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Вуглеводні</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bCs/>
                <w:sz w:val="22"/>
                <w:szCs w:val="22"/>
                <w:lang w:val="uk-UA"/>
              </w:rPr>
              <w:t>0,0040</w:t>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т</w:t>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Марганець та його сполуки</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0,0001</w:t>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т</w:t>
            </w:r>
          </w:p>
        </w:tc>
        <w:tc>
          <w:tcPr>
            <w:tcW w:w="2474" w:type="dxa"/>
            <w:gridSpan w:val="2"/>
            <w:vMerge w:val="continue"/>
            <w:tcBorders>
              <w:left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en-US"/>
              </w:rPr>
            </w:pPr>
            <w:r>
              <w:rPr>
                <w:sz w:val="22"/>
                <w:szCs w:val="22"/>
                <w:lang w:val="uk-UA"/>
              </w:rPr>
              <w:t xml:space="preserve">Ацетон </w:t>
            </w:r>
            <w:r>
              <w:rPr>
                <w:sz w:val="22"/>
                <w:szCs w:val="22"/>
                <w:lang w:val="en-US"/>
              </w:rPr>
              <w:t>(CH3)2 CO</w:t>
            </w:r>
          </w:p>
        </w:tc>
        <w:tc>
          <w:tcPr>
            <w:tcW w:w="1188"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0,0020</w:t>
            </w:r>
          </w:p>
        </w:tc>
        <w:tc>
          <w:tcPr>
            <w:tcW w:w="1244"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rPr>
            </w:pPr>
            <w:r>
              <w:rPr>
                <w:sz w:val="22"/>
                <w:szCs w:val="22"/>
                <w:lang w:val="uk-UA"/>
              </w:rPr>
              <w:t>т</w:t>
            </w:r>
          </w:p>
        </w:tc>
        <w:tc>
          <w:tcPr>
            <w:tcW w:w="2474" w:type="dxa"/>
            <w:gridSpan w:val="2"/>
            <w:vMerge w:val="continue"/>
            <w:tcBorders>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vMerge w:val="continue"/>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 xml:space="preserve">Інші </w:t>
            </w:r>
          </w:p>
          <w:p>
            <w:pPr>
              <w:pStyle w:val="Normal"/>
              <w:rPr>
                <w:sz w:val="22"/>
                <w:szCs w:val="22"/>
                <w:lang w:val="uk-UA"/>
              </w:rPr>
            </w:pPr>
            <w:r>
              <w:rPr>
                <w:sz w:val="22"/>
                <w:szCs w:val="22"/>
                <w:lang w:val="uk-UA"/>
              </w:rPr>
              <w:t xml:space="preserve">Параметри </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2474" w:type="dxa"/>
            <w:gridSpan w:val="2"/>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Шум</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t>-</w:t>
            </w:r>
          </w:p>
        </w:tc>
        <w:tc>
          <w:tcPr>
            <w:tcW w:w="1244" w:type="dxa"/>
            <w:tcBorders>
              <w:top w:val="single" w:sz="4" w:space="0" w:color="000000"/>
              <w:left w:val="single" w:sz="4" w:space="0" w:color="000000"/>
              <w:bottom w:val="single" w:sz="4" w:space="0" w:color="000000"/>
              <w:right w:val="single" w:sz="4" w:space="0" w:color="000000"/>
            </w:tcBorders>
            <w:shd w:fill="auto" w:val="clear"/>
            <w:vAlign w:val="center"/>
          </w:tcPr>
          <w:p>
            <w:pPr>
              <w:pStyle w:val="Normal"/>
              <w:snapToGrid w:val="false"/>
              <w:jc w:val="center"/>
              <w:rPr>
                <w:sz w:val="22"/>
                <w:szCs w:val="22"/>
                <w:lang w:val="uk-UA"/>
              </w:rPr>
            </w:pPr>
            <w:r>
              <w:rPr>
                <w:sz w:val="22"/>
                <w:szCs w:val="22"/>
                <w:lang w:val="uk-UA"/>
              </w:rPr>
              <w:t>-</w:t>
            </w:r>
          </w:p>
        </w:tc>
        <w:tc>
          <w:tcPr>
            <w:tcW w:w="2474"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t>Згідно зі ст. 32 Закону України «Про систему громадського здоров’я»</w:t>
            </w:r>
            <w:r>
              <w:rPr>
                <w:rStyle w:val="Style12"/>
                <w:sz w:val="22"/>
                <w:szCs w:val="22"/>
                <w:lang w:val="uk-UA"/>
              </w:rPr>
              <w:footnoteReference w:id="10"/>
            </w:r>
            <w:r>
              <w:rPr>
                <w:sz w:val="22"/>
                <w:szCs w:val="22"/>
                <w:lang w:val="uk-UA"/>
              </w:rPr>
              <w:t xml:space="preserve"> не допускається перевищення рівнів шуму, а також шкідливий вплив інших фізичних факторів, зокрема під час руху автомобільного транспорту в населених пунктах, а також упродовж доби перевищення рівнів шуму, встановлених державними медико-санітарними нормативами на захищених об’єктах. </w:t>
            </w:r>
          </w:p>
          <w:p>
            <w:pPr>
              <w:pStyle w:val="Normal"/>
              <w:snapToGrid w:val="false"/>
              <w:jc w:val="center"/>
              <w:rPr>
                <w:sz w:val="22"/>
                <w:szCs w:val="22"/>
                <w:lang w:val="uk-UA"/>
              </w:rPr>
            </w:pPr>
            <w:r>
              <w:rPr>
                <w:sz w:val="22"/>
                <w:szCs w:val="22"/>
                <w:lang w:val="uk-UA"/>
              </w:rPr>
              <w:t>Наказ МОЗ № 463 від 22.02.2019 р.</w:t>
            </w:r>
            <w:r>
              <w:rPr>
                <w:rStyle w:val="Style12"/>
                <w:sz w:val="22"/>
                <w:szCs w:val="22"/>
                <w:lang w:val="uk-UA"/>
              </w:rPr>
              <w:footnoteReference w:id="11"/>
            </w:r>
            <w:r>
              <w:rPr>
                <w:sz w:val="22"/>
                <w:szCs w:val="22"/>
                <w:lang w:val="uk-UA"/>
              </w:rPr>
              <w:t xml:space="preserve"> визначає допустимі рівні шуму для захищених об’єктів, фокусуючись на шумі, що проникає до них від зовнішніх і внутрішніх джерел</w:t>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t xml:space="preserve">Відповідно до чинного законодавства основним предметом контролю шумового забруднення, що походить безпосередньо від об'єктів </w:t>
            </w:r>
            <w:r>
              <w:rPr>
                <w:bCs/>
                <w:sz w:val="22"/>
                <w:szCs w:val="22"/>
                <w:lang w:val="uk-UA"/>
              </w:rPr>
              <w:t xml:space="preserve">КП «ТЕТ» </w:t>
            </w:r>
            <w:r>
              <w:rPr>
                <w:sz w:val="22"/>
                <w:szCs w:val="22"/>
                <w:lang w:val="uk-UA"/>
              </w:rPr>
              <w:t>є шум від стаціонарних джерел.</w:t>
            </w:r>
          </w:p>
          <w:p>
            <w:pPr>
              <w:pStyle w:val="Normal"/>
              <w:snapToGrid w:val="false"/>
              <w:jc w:val="center"/>
              <w:rPr>
                <w:sz w:val="22"/>
                <w:szCs w:val="22"/>
                <w:lang w:val="uk-UA"/>
              </w:rPr>
            </w:pPr>
            <w:r>
              <w:rPr>
                <w:sz w:val="22"/>
                <w:szCs w:val="22"/>
                <w:lang w:val="uk-UA"/>
              </w:rPr>
              <w:t xml:space="preserve">Відсутність перевірки рівнів шуму від стаціонарних джерел підприємства на межі житлової забудови свідчить на </w:t>
            </w:r>
            <w:r>
              <w:rPr>
                <w:bCs/>
                <w:sz w:val="22"/>
                <w:szCs w:val="22"/>
                <w:lang w:val="uk-UA"/>
              </w:rPr>
              <w:t xml:space="preserve">КП «ТЕТ» </w:t>
            </w:r>
            <w:r>
              <w:rPr>
                <w:sz w:val="22"/>
                <w:szCs w:val="22"/>
                <w:lang w:val="uk-UA"/>
              </w:rPr>
              <w:t>відсутні стаціонарні джерела значного шумового впливу, які б виходили за межі його санітарно-захисної зони, такі джерела ефективно ізольовані, скарги від населення щодо перевищення шуму відсутні.</w:t>
            </w:r>
          </w:p>
          <w:p>
            <w:pPr>
              <w:pStyle w:val="Normal"/>
              <w:snapToGrid w:val="false"/>
              <w:jc w:val="center"/>
              <w:rPr>
                <w:sz w:val="22"/>
                <w:szCs w:val="22"/>
                <w:lang w:val="uk-UA"/>
              </w:rPr>
            </w:pPr>
            <w:r>
              <w:rPr>
                <w:sz w:val="22"/>
                <w:szCs w:val="22"/>
                <w:lang w:val="uk-UA"/>
              </w:rPr>
            </w:r>
          </w:p>
          <w:p>
            <w:pPr>
              <w:pStyle w:val="Normal"/>
              <w:snapToGrid w:val="false"/>
              <w:jc w:val="center"/>
              <w:rPr>
                <w:bCs/>
                <w:sz w:val="22"/>
                <w:szCs w:val="22"/>
                <w:lang w:val="uk-UA"/>
              </w:rPr>
            </w:pPr>
            <w:r>
              <w:rPr>
                <w:bCs/>
                <w:sz w:val="22"/>
                <w:szCs w:val="22"/>
                <w:lang w:val="uk-UA"/>
              </w:rPr>
              <w:t>У подальшому в рамках реалізації ESAP буде контролюватися рівень шуму та вживатимуться заходи з пом’якшення його впливу, зокрема, шляхом дотрання графіків робочого часу під час шумних робіт на будівельному майданчику, використання транс-портних засобів та обладнання і т. ін.</w:t>
            </w:r>
          </w:p>
        </w:tc>
      </w:tr>
      <w:tr>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[Інше]</w:t>
            </w:r>
          </w:p>
        </w:tc>
        <w:tc>
          <w:tcPr>
            <w:tcW w:w="1188" w:type="dxa"/>
            <w:tcBorders>
              <w:top w:val="single" w:sz="4" w:space="0" w:color="000000"/>
              <w:left w:val="single" w:sz="4" w:space="0" w:color="000000"/>
              <w:bottom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1244" w:type="dxa"/>
            <w:tcBorders>
              <w:top w:val="single" w:sz="4" w:space="0" w:color="000000"/>
              <w:left w:val="single" w:sz="4" w:space="0" w:color="000000"/>
              <w:bottom w:val="single" w:sz="4" w:space="0" w:color="000000"/>
              <w:right w:val="single" w:sz="4" w:space="0" w:color="000000"/>
            </w:tcBorders>
            <w:shd w:fill="auto" w:val="clear"/>
            <w:vAlign w:val="center"/>
          </w:tcPr>
          <w:p>
            <w:pPr>
              <w:pStyle w:val="Normal"/>
              <w:snapToGrid w:val="false"/>
              <w:jc w:val="center"/>
              <w:rPr>
                <w:sz w:val="22"/>
                <w:szCs w:val="22"/>
                <w:lang w:val="uk-UA"/>
              </w:rPr>
            </w:pPr>
            <w:r>
              <w:rPr>
                <w:sz w:val="22"/>
                <w:szCs w:val="22"/>
                <w:lang w:val="uk-UA"/>
              </w:rPr>
            </w:r>
          </w:p>
        </w:tc>
        <w:tc>
          <w:tcPr>
            <w:tcW w:w="2474"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jc w:val="center"/>
              <w:rPr>
                <w:sz w:val="22"/>
                <w:szCs w:val="22"/>
                <w:lang w:val="uk-UA"/>
              </w:rPr>
            </w:pPr>
            <w:r>
              <w:rPr>
                <w:sz w:val="22"/>
                <w:szCs w:val="22"/>
                <w:lang w:val="uk-UA"/>
              </w:rPr>
            </w:r>
          </w:p>
        </w:tc>
      </w:tr>
      <w:tr>
        <w:trPr>
          <w:trHeight w:val="783" w:hRule="atLeast"/>
        </w:trPr>
        <w:tc>
          <w:tcPr>
            <w:tcW w:w="2522"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Тверді відходи (утворилось твердих побутових відходів)</w:t>
            </w:r>
          </w:p>
        </w:tc>
        <w:tc>
          <w:tcPr>
            <w:tcW w:w="1188" w:type="dxa"/>
            <w:tcBorders>
              <w:top w:val="single" w:sz="4" w:space="0" w:color="000000"/>
              <w:left w:val="single" w:sz="4" w:space="0" w:color="000000"/>
              <w:bottom w:val="single" w:sz="4" w:space="0" w:color="000000"/>
            </w:tcBorders>
            <w:shd w:fill="auto" w:val="clear"/>
            <w:vAlign w:val="center"/>
          </w:tcPr>
          <w:p>
            <w:pPr>
              <w:pStyle w:val="Normal"/>
              <w:jc w:val="center"/>
              <w:rPr>
                <w:sz w:val="22"/>
                <w:szCs w:val="22"/>
                <w:lang w:val="uk-UA"/>
              </w:rPr>
            </w:pPr>
            <w:r>
              <w:rPr>
                <w:sz w:val="22"/>
                <w:szCs w:val="22"/>
                <w:lang w:val="uk-UA"/>
              </w:rPr>
              <w:t>28,420</w:t>
            </w:r>
          </w:p>
        </w:tc>
        <w:tc>
          <w:tcPr>
            <w:tcW w:w="1244" w:type="dxa"/>
            <w:tcBorders>
              <w:top w:val="single" w:sz="4" w:space="0" w:color="000000"/>
              <w:left w:val="single" w:sz="4" w:space="0" w:color="000000"/>
              <w:bottom w:val="single" w:sz="4" w:space="0" w:color="000000"/>
            </w:tcBorders>
            <w:shd w:fill="auto" w:val="clear"/>
            <w:vAlign w:val="center"/>
          </w:tcPr>
          <w:p>
            <w:pPr>
              <w:pStyle w:val="Normal"/>
              <w:jc w:val="center"/>
              <w:rPr>
                <w:sz w:val="22"/>
                <w:szCs w:val="22"/>
                <w:lang w:val="uk-UA"/>
              </w:rPr>
            </w:pPr>
            <w:r>
              <w:rPr>
                <w:sz w:val="22"/>
                <w:szCs w:val="22"/>
                <w:lang w:val="uk-UA"/>
              </w:rPr>
              <w:t>т</w:t>
            </w:r>
          </w:p>
        </w:tc>
        <w:tc>
          <w:tcPr>
            <w:tcW w:w="2474" w:type="dxa"/>
            <w:gridSpan w:val="2"/>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Порядок класифікації відходів затверджено постановою Кабінету Міністрів України від 20 жовтня 2023 р. № 1102</w:t>
            </w:r>
            <w:r>
              <w:rPr>
                <w:rStyle w:val="Style12"/>
                <w:sz w:val="22"/>
                <w:szCs w:val="22"/>
                <w:lang w:val="uk-UA"/>
              </w:rPr>
              <w:footnoteReference w:id="12"/>
            </w:r>
            <w:r>
              <w:rPr>
                <w:sz w:val="22"/>
                <w:szCs w:val="22"/>
                <w:lang w:val="uk-UA"/>
              </w:rPr>
              <w:t xml:space="preserve"> за видами та властивостями з метою належного управління відходами, запобігання їх негативному впливу на здоров’я людей і навколишнє природне середовище або зменшення такого впливу</w:t>
            </w:r>
          </w:p>
        </w:tc>
        <w:tc>
          <w:tcPr>
            <w:tcW w:w="2210"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bCs/>
                <w:sz w:val="22"/>
                <w:szCs w:val="22"/>
                <w:lang w:val="uk-UA"/>
              </w:rPr>
              <w:t xml:space="preserve">У подальшому відповідно до ESAP буде </w:t>
            </w:r>
            <w:r>
              <w:rPr>
                <w:sz w:val="22"/>
                <w:szCs w:val="22"/>
                <w:lang w:val="uk-UA"/>
              </w:rPr>
              <w:t xml:space="preserve">розроблено план управління відходами на етапі будівництва з визначенням усіх типів утворених відходів, а також заходи щодо зберігання та утилізації всіх потоків відходів, включаючи поводження з небезпечними відходами. </w:t>
            </w:r>
          </w:p>
          <w:p>
            <w:pPr>
              <w:pStyle w:val="Normal"/>
              <w:snapToGrid w:val="false"/>
              <w:rPr>
                <w:sz w:val="22"/>
                <w:szCs w:val="22"/>
                <w:lang w:val="uk-UA"/>
              </w:rPr>
            </w:pPr>
            <w:r>
              <w:rPr>
                <w:sz w:val="22"/>
                <w:szCs w:val="22"/>
                <w:lang w:val="uk-UA"/>
              </w:rPr>
              <w:t>Контракти зі спеціалізованими ліцензованими компаніями з утилізації небезпечних відходів буде укладено та/або продовжено.</w:t>
            </w:r>
          </w:p>
        </w:tc>
      </w:tr>
      <w:tr>
        <w:trPr/>
        <w:tc>
          <w:tcPr>
            <w:tcW w:w="9638" w:type="dxa"/>
            <w:gridSpan w:val="6"/>
            <w:tcBorders>
              <w:top w:val="single" w:sz="4" w:space="0" w:color="000000"/>
              <w:left w:val="single" w:sz="4" w:space="0" w:color="000000"/>
              <w:bottom w:val="single" w:sz="4" w:space="0" w:color="000000"/>
              <w:right w:val="single" w:sz="4" w:space="0" w:color="000000"/>
            </w:tcBorders>
            <w:shd w:fill="auto" w:val="clear"/>
          </w:tcPr>
          <w:p>
            <w:pPr>
              <w:pStyle w:val="Normal"/>
              <w:jc w:val="both"/>
              <w:rPr>
                <w:sz w:val="22"/>
                <w:szCs w:val="22"/>
                <w:lang w:val="uk-UA"/>
              </w:rPr>
            </w:pPr>
            <w:r>
              <w:rPr>
                <w:i/>
                <w:sz w:val="22"/>
                <w:szCs w:val="22"/>
                <w:lang w:val="uk-UA"/>
              </w:rPr>
              <w:t>Будь ласка надайте деталі щодо типу та кількості твердих відходів, які виробляються в процесі роботи в рамках проєкту. Вкажіть, які відходи вважаються небезпечними. Також надайте інформацію щодо заключного повторного використання, повторного циклу переробки або використання методу очищення для кожного типу відходів.</w:t>
            </w:r>
            <w:r>
              <w:rPr>
                <w:sz w:val="22"/>
                <w:szCs w:val="22"/>
              </w:rPr>
              <w:t xml:space="preserve"> </w:t>
            </w:r>
          </w:p>
          <w:p>
            <w:pPr>
              <w:pStyle w:val="Normal"/>
              <w:jc w:val="both"/>
              <w:rPr>
                <w:sz w:val="22"/>
                <w:szCs w:val="22"/>
                <w:lang w:val="uk-UA"/>
              </w:rPr>
            </w:pPr>
            <w:r>
              <w:rPr>
                <w:sz w:val="22"/>
                <w:szCs w:val="22"/>
                <w:lang w:val="uk-UA"/>
              </w:rPr>
            </w:r>
          </w:p>
          <w:p>
            <w:pPr>
              <w:pStyle w:val="Normal"/>
              <w:jc w:val="both"/>
              <w:rPr>
                <w:sz w:val="22"/>
                <w:szCs w:val="22"/>
                <w:lang w:val="uk-UA"/>
              </w:rPr>
            </w:pPr>
            <w:r>
              <w:rPr>
                <w:sz w:val="22"/>
                <w:szCs w:val="22"/>
                <w:lang w:val="uk-UA"/>
              </w:rPr>
              <w:t xml:space="preserve">У результаті діяльності підприємства утворюються такі відходи: </w:t>
            </w:r>
          </w:p>
          <w:p>
            <w:pPr>
              <w:pStyle w:val="Normal"/>
              <w:numPr>
                <w:ilvl w:val="0"/>
                <w:numId w:val="4"/>
              </w:numPr>
              <w:ind w:left="371" w:hanging="360"/>
              <w:jc w:val="both"/>
              <w:rPr>
                <w:sz w:val="22"/>
                <w:szCs w:val="22"/>
                <w:lang w:val="uk-UA"/>
              </w:rPr>
            </w:pPr>
            <w:r>
              <w:rPr>
                <w:sz w:val="22"/>
                <w:szCs w:val="22"/>
                <w:lang w:val="uk-UA"/>
              </w:rPr>
              <w:t xml:space="preserve">люмінесцентні лампи (Код за національним переліком відходів: 20 01 21), </w:t>
            </w:r>
          </w:p>
          <w:p>
            <w:pPr>
              <w:pStyle w:val="Normal"/>
              <w:numPr>
                <w:ilvl w:val="0"/>
                <w:numId w:val="4"/>
              </w:numPr>
              <w:ind w:left="371" w:hanging="360"/>
              <w:jc w:val="both"/>
              <w:rPr>
                <w:sz w:val="22"/>
                <w:szCs w:val="22"/>
                <w:lang w:val="uk-UA"/>
              </w:rPr>
            </w:pPr>
            <w:r>
              <w:rPr>
                <w:sz w:val="22"/>
                <w:szCs w:val="22"/>
                <w:lang w:val="uk-UA"/>
              </w:rPr>
              <w:t xml:space="preserve">відпрацьовані шини (Код за національним переліком відходів: 16 01 03), </w:t>
            </w:r>
          </w:p>
          <w:p>
            <w:pPr>
              <w:pStyle w:val="Normal"/>
              <w:numPr>
                <w:ilvl w:val="0"/>
                <w:numId w:val="4"/>
              </w:numPr>
              <w:ind w:left="371" w:hanging="360"/>
              <w:jc w:val="both"/>
              <w:rPr>
                <w:sz w:val="22"/>
                <w:szCs w:val="22"/>
                <w:lang w:val="uk-UA"/>
              </w:rPr>
            </w:pPr>
            <w:r>
              <w:rPr>
                <w:sz w:val="22"/>
                <w:szCs w:val="22"/>
                <w:lang w:val="uk-UA"/>
              </w:rPr>
              <w:t xml:space="preserve">свинцеві батареї (Код за національним переліком відходів: 16 06 01), </w:t>
            </w:r>
          </w:p>
          <w:p>
            <w:pPr>
              <w:pStyle w:val="Normal"/>
              <w:numPr>
                <w:ilvl w:val="0"/>
                <w:numId w:val="4"/>
              </w:numPr>
              <w:ind w:left="371" w:hanging="360"/>
              <w:jc w:val="both"/>
              <w:rPr>
                <w:sz w:val="22"/>
                <w:szCs w:val="22"/>
                <w:lang w:val="uk-UA"/>
              </w:rPr>
            </w:pPr>
            <w:r>
              <w:rPr>
                <w:sz w:val="22"/>
                <w:szCs w:val="22"/>
                <w:lang w:val="uk-UA"/>
              </w:rPr>
              <w:t xml:space="preserve">змішані побутові відходи (Код за національним переліком відходів: 20 03 01), </w:t>
            </w:r>
          </w:p>
          <w:p>
            <w:pPr>
              <w:pStyle w:val="Normal"/>
              <w:numPr>
                <w:ilvl w:val="0"/>
                <w:numId w:val="4"/>
              </w:numPr>
              <w:ind w:left="371" w:hanging="360"/>
              <w:jc w:val="both"/>
              <w:rPr>
                <w:sz w:val="22"/>
                <w:szCs w:val="22"/>
                <w:lang w:val="uk-UA"/>
              </w:rPr>
            </w:pPr>
            <w:r>
              <w:rPr>
                <w:sz w:val="22"/>
                <w:szCs w:val="22"/>
                <w:lang w:val="uk-UA"/>
              </w:rPr>
              <w:t xml:space="preserve">будівельні відходи, які містять азбест (Код за національним переліком відходів: 17 06 05). </w:t>
            </w:r>
          </w:p>
          <w:p>
            <w:pPr>
              <w:pStyle w:val="Normal"/>
              <w:jc w:val="both"/>
              <w:rPr>
                <w:sz w:val="22"/>
                <w:szCs w:val="22"/>
                <w:lang w:val="uk-UA"/>
              </w:rPr>
            </w:pPr>
            <w:r>
              <w:rPr>
                <w:sz w:val="22"/>
                <w:szCs w:val="22"/>
                <w:lang w:val="uk-UA"/>
              </w:rPr>
              <w:t xml:space="preserve">Серед відходів, що утворюються на підприємстві небезпечними вважаються люмінесцентні лампи та будівельні відходи, які містять азбест (шифер), - відходи І класу небезпеки. </w:t>
            </w:r>
          </w:p>
          <w:p>
            <w:pPr>
              <w:pStyle w:val="Normal"/>
              <w:jc w:val="both"/>
              <w:rPr>
                <w:sz w:val="22"/>
                <w:szCs w:val="22"/>
                <w:lang w:val="uk-UA"/>
              </w:rPr>
            </w:pPr>
            <w:r>
              <w:rPr>
                <w:sz w:val="22"/>
                <w:szCs w:val="22"/>
                <w:lang w:val="uk-UA"/>
              </w:rPr>
              <w:t xml:space="preserve">Усі утворені відходи підприємство передає іншим суб’єктам господарювання, які мають ліцензію на їх утилізацію. Зокрема, підприємством було укладено Договір № 10762-2024/КЯ від 13.08.2024 р. з ТОВ «УТИЛЬВТОРПРОМ» на предмет утилізації будівельних матеріалів, що містять азбест, та Договір № 145 від 05.09.2024 р. з ДП «БОДНАРІВКА» Львівського комунального підприємства «Зелений Львів» на предмет надання послуг зі збирання та оброблення механічно не пошкоджених небезпечних відходів (люмінесцентних ламп). </w:t>
            </w:r>
          </w:p>
          <w:p>
            <w:pPr>
              <w:pStyle w:val="Normal"/>
              <w:jc w:val="both"/>
              <w:rPr>
                <w:sz w:val="22"/>
                <w:szCs w:val="22"/>
                <w:lang w:val="uk-UA"/>
              </w:rPr>
            </w:pPr>
            <w:r>
              <w:rPr>
                <w:sz w:val="22"/>
                <w:szCs w:val="22"/>
                <w:lang w:val="uk-UA"/>
              </w:rPr>
              <w:t xml:space="preserve">Усі небезпечні відходи, а також змішані побутові відходи, які зберігалися на початок року або утворилися на підприємстві у звітному році, передано іншим ліцензованим суб’єктам господарювання для видалення відповідно до укладених договорів. </w:t>
            </w:r>
          </w:p>
          <w:p>
            <w:pPr>
              <w:pStyle w:val="Normal"/>
              <w:jc w:val="both"/>
              <w:rPr>
                <w:sz w:val="22"/>
                <w:szCs w:val="22"/>
                <w:lang w:val="uk-UA"/>
              </w:rPr>
            </w:pPr>
            <w:r>
              <w:rPr>
                <w:sz w:val="22"/>
                <w:szCs w:val="22"/>
                <w:lang w:val="uk-UA"/>
              </w:rPr>
              <w:t>Загалом, у 2024 р. передано на утилізацію 0,024 т люмінесцентних ламп, 18,000 т відпрацьованих шин, 0,796 т свинцевих батарей, 0,500 азбесту (шифер), та 28,420 т змішаних побутових відходів.</w:t>
            </w:r>
          </w:p>
          <w:p>
            <w:pPr>
              <w:pStyle w:val="Normal"/>
              <w:jc w:val="both"/>
              <w:rPr>
                <w:sz w:val="22"/>
                <w:szCs w:val="22"/>
                <w:lang w:val="uk-UA"/>
              </w:rPr>
            </w:pPr>
            <w:r>
              <w:rPr>
                <w:sz w:val="22"/>
                <w:szCs w:val="22"/>
                <w:lang w:val="uk-UA"/>
              </w:rPr>
              <w:t>Таким чином, усі будівельні відходи, які містять азбест, що були на підприємстві на початок 2024 р., а також утворені протягом 2024 р. відходи люмінесцентних ламп, повністю утилізовано відповідними ліцензованим суб’єктами (Додаток 14).</w:t>
            </w:r>
          </w:p>
          <w:p>
            <w:pPr>
              <w:pStyle w:val="Style34"/>
              <w:ind w:left="0" w:right="34" w:firstLine="225"/>
              <w:rPr>
                <w:sz w:val="22"/>
                <w:szCs w:val="22"/>
                <w:highlight w:val="yellow"/>
              </w:rPr>
            </w:pPr>
            <w:r>
              <w:rPr>
                <w:sz w:val="22"/>
                <w:szCs w:val="22"/>
                <w:shd w:fill="FFFF00" w:val="clear"/>
              </w:rPr>
            </w:r>
          </w:p>
        </w:tc>
      </w:tr>
    </w:tbl>
    <w:p>
      <w:pPr>
        <w:pStyle w:val="Normal"/>
        <w:spacing w:lineRule="auto" w:line="360"/>
        <w:rPr>
          <w:sz w:val="18"/>
          <w:szCs w:val="18"/>
          <w:lang w:val="uk-UA"/>
        </w:rPr>
      </w:pPr>
      <w:r>
        <w:rPr>
          <w:sz w:val="18"/>
          <w:szCs w:val="18"/>
          <w:lang w:val="uk-UA"/>
        </w:rPr>
      </w:r>
    </w:p>
    <w:tbl>
      <w:tblPr>
        <w:tblW w:w="5000" w:type="pct"/>
        <w:jc w:val="left"/>
        <w:tblInd w:w="0" w:type="dxa"/>
        <w:tblCellMar>
          <w:top w:w="0" w:type="dxa"/>
          <w:left w:w="108" w:type="dxa"/>
          <w:bottom w:w="0" w:type="dxa"/>
          <w:right w:w="108" w:type="dxa"/>
        </w:tblCellMar>
        <w:tblLook w:firstRow="0" w:noVBand="0" w:lastRow="0" w:firstColumn="0" w:lastColumn="0" w:noHBand="0" w:val="0000"/>
      </w:tblPr>
      <w:tblGrid>
        <w:gridCol w:w="2654"/>
        <w:gridCol w:w="1493"/>
        <w:gridCol w:w="1493"/>
        <w:gridCol w:w="3997"/>
      </w:tblGrid>
      <w:tr>
        <w:trPr/>
        <w:tc>
          <w:tcPr>
            <w:tcW w:w="9637" w:type="dxa"/>
            <w:gridSpan w:val="4"/>
            <w:tcBorders>
              <w:top w:val="single" w:sz="4" w:space="0" w:color="000000"/>
              <w:left w:val="single" w:sz="4" w:space="0" w:color="000000"/>
              <w:bottom w:val="single" w:sz="4" w:space="0" w:color="000000"/>
              <w:right w:val="single" w:sz="4" w:space="0" w:color="000000"/>
            </w:tcBorders>
            <w:shd w:color="auto" w:fill="000000" w:val="clear"/>
          </w:tcPr>
          <w:p>
            <w:pPr>
              <w:pStyle w:val="Normal"/>
              <w:rPr/>
            </w:pPr>
            <w:r>
              <w:rPr>
                <w:b/>
                <w:bCs/>
                <w:lang w:val="uk-UA"/>
              </w:rPr>
              <w:t>5. Використання Ресурсів та Виробництво Продукції</w:t>
            </w:r>
          </w:p>
        </w:tc>
      </w:tr>
      <w:tr>
        <w:trPr/>
        <w:tc>
          <w:tcPr>
            <w:tcW w:w="2654"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Найменування</w:t>
            </w:r>
          </w:p>
        </w:tc>
        <w:tc>
          <w:tcPr>
            <w:tcW w:w="1493"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Кількість</w:t>
            </w:r>
          </w:p>
        </w:tc>
        <w:tc>
          <w:tcPr>
            <w:tcW w:w="1493" w:type="dxa"/>
            <w:tcBorders>
              <w:top w:val="single" w:sz="4" w:space="0" w:color="000000"/>
              <w:left w:val="single" w:sz="4" w:space="0" w:color="000000"/>
              <w:bottom w:val="single" w:sz="4" w:space="0" w:color="000000"/>
            </w:tcBorders>
            <w:shd w:fill="auto" w:val="clear"/>
          </w:tcPr>
          <w:p>
            <w:pPr>
              <w:pStyle w:val="Normal"/>
              <w:jc w:val="center"/>
              <w:rPr>
                <w:b/>
                <w:b/>
                <w:sz w:val="22"/>
                <w:szCs w:val="22"/>
                <w:lang w:val="uk-UA"/>
              </w:rPr>
            </w:pPr>
            <w:r>
              <w:rPr>
                <w:b/>
                <w:sz w:val="22"/>
                <w:szCs w:val="22"/>
                <w:lang w:val="uk-UA"/>
              </w:rPr>
              <w:t>Од. виміру</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jc w:val="center"/>
              <w:rPr/>
            </w:pPr>
            <w:r>
              <w:rPr>
                <w:b/>
                <w:sz w:val="22"/>
                <w:szCs w:val="22"/>
                <w:lang w:val="uk-UA"/>
              </w:rPr>
              <w:t>Примітки</w:t>
            </w:r>
          </w:p>
        </w:tc>
      </w:tr>
      <w:tr>
        <w:trPr/>
        <w:tc>
          <w:tcPr>
            <w:tcW w:w="2654" w:type="dxa"/>
            <w:tcBorders>
              <w:top w:val="single" w:sz="4" w:space="0" w:color="000000"/>
              <w:left w:val="single" w:sz="4" w:space="0" w:color="000000"/>
              <w:bottom w:val="single" w:sz="4" w:space="0" w:color="000000"/>
            </w:tcBorders>
            <w:shd w:fill="auto" w:val="clear"/>
          </w:tcPr>
          <w:p>
            <w:pPr>
              <w:pStyle w:val="Normal"/>
              <w:rPr>
                <w:b/>
                <w:b/>
                <w:sz w:val="22"/>
                <w:szCs w:val="22"/>
                <w:lang w:val="uk-UA"/>
              </w:rPr>
            </w:pPr>
            <w:r>
              <w:rPr>
                <w:b/>
                <w:sz w:val="22"/>
                <w:szCs w:val="22"/>
                <w:lang w:val="uk-UA"/>
              </w:rPr>
              <w:t>Використане паливо</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b/>
                <w:b/>
                <w:sz w:val="22"/>
                <w:szCs w:val="22"/>
                <w:lang w:val="uk-UA"/>
              </w:rPr>
            </w:pPr>
            <w:r>
              <w:rPr>
                <w:b/>
                <w:sz w:val="22"/>
                <w:szCs w:val="22"/>
                <w:lang w:val="uk-UA"/>
              </w:rPr>
            </w:r>
          </w:p>
        </w:tc>
        <w:tc>
          <w:tcPr>
            <w:tcW w:w="1493" w:type="dxa"/>
            <w:tcBorders>
              <w:top w:val="single" w:sz="4" w:space="0" w:color="000000"/>
              <w:left w:val="single" w:sz="4" w:space="0" w:color="000000"/>
              <w:bottom w:val="single" w:sz="4" w:space="0" w:color="000000"/>
            </w:tcBorders>
            <w:shd w:fill="auto" w:val="clear"/>
          </w:tcPr>
          <w:p>
            <w:pPr>
              <w:pStyle w:val="Normal"/>
              <w:snapToGrid w:val="false"/>
              <w:rPr>
                <w:b/>
                <w:b/>
                <w:sz w:val="22"/>
                <w:szCs w:val="22"/>
                <w:lang w:val="uk-UA"/>
              </w:rPr>
            </w:pPr>
            <w:r>
              <w:rPr>
                <w:b/>
                <w:sz w:val="22"/>
                <w:szCs w:val="22"/>
                <w:lang w:val="uk-UA"/>
              </w:rPr>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b/>
                <w:b/>
                <w:sz w:val="22"/>
                <w:szCs w:val="22"/>
                <w:lang w:val="uk-UA"/>
              </w:rPr>
            </w:pPr>
            <w:r>
              <w:rPr>
                <w:b/>
                <w:sz w:val="22"/>
                <w:szCs w:val="22"/>
                <w:lang w:val="uk-UA"/>
              </w:rPr>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Нафтопродукти</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397489,85</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л</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Загальний обсяг використання палива, зокрема, нафтопродуктів, КП «ТЕТ» у 2024 р. є обґрунтованим і технологічно необхідним для реалізації операційної стійкості (для роботи генераторів при відключенні електричної енергії), ремонту інфраструктури (спецтранспорт) та забезпечення перевезення пасажирів (автобуси) у рамках функціональних завдань Підприємства, що мінімізує екологічний вплив.</w:t>
            </w:r>
          </w:p>
          <w:p>
            <w:pPr>
              <w:pStyle w:val="Normal"/>
              <w:snapToGrid w:val="false"/>
              <w:rPr>
                <w:sz w:val="22"/>
                <w:szCs w:val="22"/>
                <w:highlight w:val="yellow"/>
                <w:lang w:val="uk-UA"/>
              </w:rPr>
            </w:pPr>
            <w:r>
              <w:rPr>
                <w:sz w:val="22"/>
                <w:szCs w:val="22"/>
                <w:lang w:val="uk-UA"/>
              </w:rPr>
              <w:t>У 2024 р. нафтопродукти використано на забезпечення роботи автобусів – 365463,43 л, на забезпечення роботи спеціальних а/з для обслуговування контактної мережі – 15838,54 л, для роботи генератора при відключенні електричної енергії – 70 л, для забезпечення роботи теплохода – 11253 л, для забезпечення роботи легкового автотранспорту – 4864,88 л</w:t>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Газ</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814454,16</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л</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Використання газу КП «ТЕТ» протягом звітного періоду також є технологічно обумовленим та спрямованим на забезпечення роботи автобусів і виробничих процесів, які не можуть бути забезпечені електроенергією.</w:t>
            </w:r>
          </w:p>
          <w:p>
            <w:pPr>
              <w:pStyle w:val="Normal"/>
              <w:snapToGrid w:val="false"/>
              <w:rPr>
                <w:sz w:val="22"/>
                <w:szCs w:val="22"/>
                <w:highlight w:val="yellow"/>
                <w:lang w:val="uk-UA"/>
              </w:rPr>
            </w:pPr>
            <w:r>
              <w:rPr>
                <w:sz w:val="22"/>
                <w:szCs w:val="22"/>
                <w:lang w:val="uk-UA"/>
              </w:rPr>
              <w:t>У 2024 р. газ використано на забезпечення роботи автобусів – 807370,97 л, на забезпечення роботи спеціальних а/з для обслуговування контактної мережі – 6332,89 л, зварювальні роботи при проведення ремонту р/с – 750,6 л</w:t>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Вугілля</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w:t>
            </w:r>
          </w:p>
        </w:tc>
        <w:tc>
          <w:tcPr>
            <w:tcW w:w="1493" w:type="dxa"/>
            <w:tcBorders>
              <w:top w:val="single" w:sz="4" w:space="0" w:color="000000"/>
              <w:left w:val="single" w:sz="4" w:space="0" w:color="000000"/>
              <w:bottom w:val="single" w:sz="4" w:space="0" w:color="000000"/>
            </w:tcBorders>
            <w:shd w:fill="auto" w:val="clear"/>
          </w:tcPr>
          <w:p>
            <w:pPr>
              <w:pStyle w:val="Normal"/>
              <w:snapToGrid w:val="false"/>
              <w:rPr>
                <w:sz w:val="22"/>
                <w:szCs w:val="22"/>
                <w:lang w:val="uk-UA"/>
              </w:rPr>
            </w:pPr>
            <w:r>
              <w:rPr>
                <w:sz w:val="22"/>
                <w:szCs w:val="22"/>
                <w:lang w:val="uk-UA"/>
              </w:rPr>
              <w:t>-</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Лігніт (буре вугілля)</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w:t>
            </w:r>
          </w:p>
        </w:tc>
        <w:tc>
          <w:tcPr>
            <w:tcW w:w="1493" w:type="dxa"/>
            <w:tcBorders>
              <w:top w:val="single" w:sz="4" w:space="0" w:color="000000"/>
              <w:left w:val="single" w:sz="4" w:space="0" w:color="000000"/>
              <w:bottom w:val="single" w:sz="4" w:space="0" w:color="000000"/>
            </w:tcBorders>
            <w:shd w:fill="auto" w:val="clear"/>
          </w:tcPr>
          <w:p>
            <w:pPr>
              <w:pStyle w:val="Normal"/>
              <w:snapToGrid w:val="false"/>
              <w:rPr>
                <w:sz w:val="22"/>
                <w:szCs w:val="22"/>
                <w:lang w:val="uk-UA"/>
              </w:rPr>
            </w:pPr>
            <w:r>
              <w:rPr>
                <w:sz w:val="22"/>
                <w:szCs w:val="22"/>
                <w:lang w:val="uk-UA"/>
              </w:rPr>
              <w:t>-</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Електроенергія</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5055885</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t>кВт*год.</w:t>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t>Споживання електроенергії протягом звітного періоду є найбільшою і ключовою статтею енерговитрат, що безпосередньо відображає профіль Підприємства як електротранспортного.</w:t>
            </w:r>
          </w:p>
          <w:p>
            <w:pPr>
              <w:pStyle w:val="Normal"/>
              <w:snapToGrid w:val="false"/>
              <w:rPr>
                <w:sz w:val="22"/>
                <w:szCs w:val="22"/>
                <w:lang w:val="uk-UA"/>
              </w:rPr>
            </w:pPr>
            <w:r>
              <w:rPr>
                <w:sz w:val="22"/>
                <w:szCs w:val="22"/>
                <w:lang w:val="uk-UA"/>
              </w:rPr>
              <w:t>Структура споживання електроенергії у розрізі підрозділів наступна:</w:t>
            </w:r>
          </w:p>
          <w:p>
            <w:pPr>
              <w:pStyle w:val="Normal"/>
              <w:snapToGrid w:val="false"/>
              <w:rPr>
                <w:sz w:val="22"/>
                <w:szCs w:val="22"/>
                <w:lang w:val="uk-UA"/>
              </w:rPr>
            </w:pPr>
            <w:r>
              <w:rPr>
                <w:sz w:val="22"/>
                <w:szCs w:val="22"/>
                <w:lang w:val="uk-UA"/>
              </w:rPr>
              <w:t>тролейбусне депо (адміністративні та виробничі приміщення) – 597000 кВт*год, відділ внутрішнього водного транспорту – 6480 кВт*год, служба енергогосподарства (на пасажирський рух) – 4470405 кВт*год.</w:t>
            </w:r>
          </w:p>
          <w:p>
            <w:pPr>
              <w:pStyle w:val="Normal"/>
              <w:snapToGrid w:val="false"/>
              <w:rPr>
                <w:sz w:val="22"/>
                <w:szCs w:val="22"/>
                <w:lang w:val="uk-UA"/>
              </w:rPr>
            </w:pPr>
            <w:r>
              <w:rPr>
                <w:sz w:val="22"/>
                <w:szCs w:val="22"/>
                <w:lang w:val="uk-UA"/>
              </w:rPr>
              <w:t>Очікується, що в результаті реалізації проєкту енергетична ефективність діяльності КП «ТЕТ» підвищиться, буде зменшено вплив на довкілля, у т. ч. шляхом скорочення викидів забруднюючих речовин.</w:t>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Ресурси використані для опалення</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z w:val="22"/>
                <w:szCs w:val="22"/>
                <w:lang w:val="uk-UA"/>
              </w:rPr>
            </w:pPr>
            <w:r>
              <w:rPr>
                <w:sz w:val="22"/>
                <w:szCs w:val="22"/>
                <w:lang w:val="uk-UA"/>
              </w:rPr>
            </w:r>
          </w:p>
        </w:tc>
        <w:tc>
          <w:tcPr>
            <w:tcW w:w="1493" w:type="dxa"/>
            <w:tcBorders>
              <w:top w:val="single" w:sz="4" w:space="0" w:color="000000"/>
              <w:left w:val="single" w:sz="4" w:space="0" w:color="000000"/>
              <w:bottom w:val="single" w:sz="4" w:space="0" w:color="000000"/>
            </w:tcBorders>
            <w:shd w:fill="auto" w:val="clear"/>
          </w:tcPr>
          <w:p>
            <w:pPr>
              <w:pStyle w:val="Normal"/>
              <w:snapToGrid w:val="false"/>
              <w:rPr>
                <w:sz w:val="22"/>
                <w:szCs w:val="22"/>
                <w:lang w:val="uk-UA"/>
              </w:rPr>
            </w:pPr>
            <w:r>
              <w:rPr>
                <w:sz w:val="22"/>
                <w:szCs w:val="22"/>
                <w:lang w:val="uk-UA"/>
              </w:rPr>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z w:val="22"/>
                <w:szCs w:val="22"/>
                <w:lang w:val="uk-UA"/>
              </w:rPr>
            </w:pPr>
            <w:r>
              <w:rPr>
                <w:sz w:val="22"/>
                <w:szCs w:val="22"/>
                <w:lang w:val="uk-UA"/>
              </w:rPr>
            </w:r>
          </w:p>
        </w:tc>
      </w:tr>
      <w:tr>
        <w:trPr/>
        <w:tc>
          <w:tcPr>
            <w:tcW w:w="2654" w:type="dxa"/>
            <w:tcBorders>
              <w:top w:val="single" w:sz="4" w:space="0" w:color="000000"/>
              <w:left w:val="single" w:sz="4" w:space="0" w:color="000000"/>
              <w:bottom w:val="single" w:sz="4" w:space="0" w:color="000000"/>
            </w:tcBorders>
            <w:shd w:fill="auto" w:val="clear"/>
          </w:tcPr>
          <w:p>
            <w:pPr>
              <w:pStyle w:val="Normal"/>
              <w:rPr>
                <w:sz w:val="22"/>
                <w:szCs w:val="22"/>
                <w:lang w:val="uk-UA"/>
              </w:rPr>
            </w:pPr>
            <w:r>
              <w:rPr>
                <w:sz w:val="22"/>
                <w:szCs w:val="22"/>
                <w:lang w:val="uk-UA"/>
              </w:rPr>
              <w:t>Використана сировина для промисловості</w:t>
            </w:r>
          </w:p>
        </w:tc>
        <w:tc>
          <w:tcPr>
            <w:tcW w:w="1493" w:type="dxa"/>
            <w:tcBorders>
              <w:top w:val="single" w:sz="4" w:space="0" w:color="000000"/>
              <w:left w:val="single" w:sz="4" w:space="0" w:color="000000"/>
              <w:bottom w:val="single" w:sz="4" w:space="0" w:color="000000"/>
            </w:tcBorders>
            <w:shd w:fill="auto" w:val="clear"/>
          </w:tcPr>
          <w:p>
            <w:pPr>
              <w:pStyle w:val="Normal"/>
              <w:snapToGrid w:val="false"/>
              <w:jc w:val="center"/>
              <w:rPr>
                <w:strike/>
                <w:sz w:val="22"/>
                <w:szCs w:val="22"/>
                <w:highlight w:val="darkGray"/>
                <w:lang w:val="uk-UA"/>
              </w:rPr>
            </w:pPr>
            <w:r>
              <w:rPr>
                <w:strike/>
                <w:sz w:val="22"/>
                <w:szCs w:val="22"/>
                <w:highlight w:val="darkGray"/>
                <w:lang w:val="uk-UA"/>
              </w:rPr>
            </w:r>
          </w:p>
        </w:tc>
        <w:tc>
          <w:tcPr>
            <w:tcW w:w="1493" w:type="dxa"/>
            <w:tcBorders>
              <w:top w:val="single" w:sz="4" w:space="0" w:color="000000"/>
              <w:left w:val="single" w:sz="4" w:space="0" w:color="000000"/>
              <w:bottom w:val="single" w:sz="4" w:space="0" w:color="000000"/>
            </w:tcBorders>
            <w:shd w:fill="auto" w:val="clear"/>
          </w:tcPr>
          <w:p>
            <w:pPr>
              <w:pStyle w:val="Normal"/>
              <w:snapToGrid w:val="false"/>
              <w:rPr>
                <w:strike/>
                <w:sz w:val="22"/>
                <w:szCs w:val="22"/>
                <w:highlight w:val="darkGray"/>
                <w:lang w:val="uk-UA"/>
              </w:rPr>
            </w:pPr>
            <w:r>
              <w:rPr>
                <w:strike/>
                <w:sz w:val="22"/>
                <w:szCs w:val="22"/>
                <w:highlight w:val="darkGray"/>
                <w:lang w:val="uk-UA"/>
              </w:rPr>
            </w:r>
          </w:p>
        </w:tc>
        <w:tc>
          <w:tcPr>
            <w:tcW w:w="3997" w:type="dxa"/>
            <w:tcBorders>
              <w:top w:val="single" w:sz="4" w:space="0" w:color="000000"/>
              <w:left w:val="single" w:sz="4" w:space="0" w:color="000000"/>
              <w:bottom w:val="single" w:sz="4" w:space="0" w:color="000000"/>
              <w:right w:val="single" w:sz="4" w:space="0" w:color="000000"/>
            </w:tcBorders>
            <w:shd w:fill="auto" w:val="clear"/>
          </w:tcPr>
          <w:p>
            <w:pPr>
              <w:pStyle w:val="Normal"/>
              <w:snapToGrid w:val="false"/>
              <w:rPr>
                <w:strike/>
                <w:sz w:val="22"/>
                <w:szCs w:val="22"/>
                <w:highlight w:val="darkGray"/>
                <w:lang w:val="uk-UA"/>
              </w:rPr>
            </w:pPr>
            <w:r>
              <w:rPr>
                <w:strike/>
                <w:sz w:val="22"/>
                <w:szCs w:val="22"/>
                <w:highlight w:val="darkGray"/>
                <w:lang w:val="uk-UA"/>
              </w:rPr>
            </w:r>
          </w:p>
        </w:tc>
      </w:tr>
    </w:tbl>
    <w:p>
      <w:pPr>
        <w:pStyle w:val="Normal"/>
        <w:ind w:left="-851" w:hanging="0"/>
        <w:jc w:val="both"/>
        <w:rPr>
          <w:sz w:val="18"/>
          <w:szCs w:val="18"/>
          <w:lang w:val="uk-UA"/>
        </w:rPr>
      </w:pPr>
      <w:r>
        <w:rPr>
          <w:sz w:val="18"/>
          <w:szCs w:val="18"/>
          <w:lang w:val="uk-UA"/>
        </w:rPr>
      </w:r>
    </w:p>
    <w:tbl>
      <w:tblPr>
        <w:tblW w:w="5000" w:type="pct"/>
        <w:jc w:val="left"/>
        <w:tblInd w:w="0" w:type="dxa"/>
        <w:tblCellMar>
          <w:top w:w="0" w:type="dxa"/>
          <w:left w:w="0" w:type="dxa"/>
          <w:bottom w:w="0" w:type="dxa"/>
          <w:right w:w="0" w:type="dxa"/>
        </w:tblCellMar>
        <w:tblLook w:firstRow="1" w:noVBand="1" w:lastRow="0" w:firstColumn="1" w:lastColumn="0" w:noHBand="0" w:val="04a0"/>
      </w:tblPr>
      <w:tblGrid>
        <w:gridCol w:w="3696"/>
        <w:gridCol w:w="1187"/>
        <w:gridCol w:w="264"/>
        <w:gridCol w:w="443"/>
        <w:gridCol w:w="2024"/>
        <w:gridCol w:w="2023"/>
      </w:tblGrid>
      <w:tr>
        <w:trPr>
          <w:trHeight w:val="452"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000000" w:val="clear"/>
          </w:tcPr>
          <w:p>
            <w:pPr>
              <w:pStyle w:val="Normal"/>
              <w:widowControl w:val="false"/>
              <w:ind w:left="144" w:hanging="0"/>
              <w:jc w:val="both"/>
              <w:textAlignment w:val="baseline"/>
              <w:rPr>
                <w:rFonts w:eastAsia="SimSun"/>
                <w:b/>
                <w:b/>
                <w:kern w:val="2"/>
                <w:sz w:val="22"/>
                <w:szCs w:val="22"/>
                <w:lang w:val="uk-UA" w:eastAsia="zh-CN" w:bidi="hi-IN"/>
              </w:rPr>
            </w:pPr>
            <w:r>
              <w:rPr>
                <w:rFonts w:eastAsia="SimSun"/>
                <w:b/>
                <w:kern w:val="2"/>
                <w:sz w:val="22"/>
                <w:szCs w:val="22"/>
                <w:lang w:val="uk-UA" w:eastAsia="zh-CN" w:bidi="hi-IN"/>
              </w:rPr>
              <w:t>6.Управління Персоналом</w:t>
            </w:r>
          </w:p>
        </w:tc>
      </w:tr>
      <w:tr>
        <w:trPr>
          <w:trHeight w:val="452" w:hRule="atLeast"/>
        </w:trPr>
        <w:tc>
          <w:tcPr>
            <w:tcW w:w="4883"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Будь ласка, надайте ПІБ і контактну інформацію вашого менеджера з питань управління персоналом:</w:t>
            </w:r>
          </w:p>
        </w:tc>
        <w:tc>
          <w:tcPr>
            <w:tcW w:w="4754" w:type="dxa"/>
            <w:gridSpan w:val="4"/>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jc w:val="both"/>
              <w:textAlignment w:val="baseline"/>
              <w:rPr>
                <w:rFonts w:eastAsia="SimSun"/>
                <w:kern w:val="2"/>
                <w:sz w:val="22"/>
                <w:szCs w:val="22"/>
                <w:lang w:eastAsia="zh-CN" w:bidi="hi-IN"/>
              </w:rPr>
            </w:pPr>
            <w:r>
              <w:rPr>
                <w:rFonts w:eastAsia="SimSun"/>
                <w:kern w:val="2"/>
                <w:sz w:val="22"/>
                <w:szCs w:val="22"/>
                <w:lang w:val="uk-UA" w:eastAsia="zh-CN" w:bidi="hi-IN"/>
              </w:rPr>
              <w:t xml:space="preserve">Ірина Василівна Мацегоріна, </w:t>
            </w:r>
          </w:p>
          <w:p>
            <w:pPr>
              <w:pStyle w:val="Normal"/>
              <w:widowControl w:val="false"/>
              <w:snapToGrid w:val="false"/>
              <w:ind w:left="144" w:right="116" w:hanging="0"/>
              <w:jc w:val="both"/>
              <w:textAlignment w:val="baseline"/>
              <w:rPr>
                <w:rFonts w:eastAsia="SimSun"/>
                <w:kern w:val="2"/>
                <w:sz w:val="22"/>
                <w:szCs w:val="22"/>
                <w:lang w:val="uk-UA" w:eastAsia="zh-CN" w:bidi="hi-IN"/>
              </w:rPr>
            </w:pPr>
            <w:r>
              <w:rPr>
                <w:rFonts w:eastAsia="SimSun"/>
                <w:kern w:val="2"/>
                <w:sz w:val="22"/>
                <w:szCs w:val="22"/>
                <w:lang w:val="uk-UA" w:eastAsia="zh-CN" w:bidi="hi-IN"/>
              </w:rPr>
              <w:t>старша економістка фінансово-економічного відділу КП «ТЕТ», секретарка ГРП</w:t>
            </w:r>
          </w:p>
        </w:tc>
      </w:tr>
      <w:tr>
        <w:trPr>
          <w:trHeight w:val="452" w:hRule="atLeast"/>
        </w:trPr>
        <w:tc>
          <w:tcPr>
            <w:tcW w:w="3696" w:type="dxa"/>
            <w:tcBorders>
              <w:top w:val="single" w:sz="4" w:space="0" w:color="000000"/>
              <w:left w:val="single" w:sz="4" w:space="0" w:color="000000"/>
              <w:bottom w:val="single" w:sz="4" w:space="0" w:color="000000"/>
              <w:right w:val="single" w:sz="4" w:space="0" w:color="000000"/>
            </w:tcBorders>
            <w:shd w:color="auto" w:fill="E0E0E0" w:val="clear"/>
          </w:tcPr>
          <w:p>
            <w:pPr>
              <w:pStyle w:val="Normal"/>
              <w:widowControl w:val="false"/>
              <w:ind w:left="144" w:right="116" w:hanging="0"/>
              <w:jc w:val="both"/>
              <w:textAlignment w:val="baseline"/>
              <w:rPr>
                <w:rFonts w:eastAsia="SimSun"/>
                <w:bCs/>
                <w:kern w:val="2"/>
                <w:sz w:val="22"/>
                <w:szCs w:val="22"/>
                <w:lang w:val="uk-UA" w:eastAsia="zh-CN" w:bidi="hi-IN"/>
              </w:rPr>
            </w:pPr>
            <w:r>
              <w:rPr>
                <w:rFonts w:eastAsia="SimSun"/>
                <w:bCs/>
                <w:kern w:val="2"/>
                <w:sz w:val="22"/>
                <w:szCs w:val="22"/>
                <w:lang w:val="uk-UA" w:eastAsia="zh-CN" w:bidi="hi-IN"/>
              </w:rPr>
            </w:r>
          </w:p>
        </w:tc>
        <w:tc>
          <w:tcPr>
            <w:tcW w:w="1894" w:type="dxa"/>
            <w:gridSpan w:val="3"/>
            <w:tcBorders>
              <w:top w:val="single" w:sz="4" w:space="0" w:color="000000"/>
              <w:left w:val="single" w:sz="4" w:space="0" w:color="000000"/>
              <w:bottom w:val="single" w:sz="4" w:space="0" w:color="000000"/>
              <w:right w:val="single" w:sz="4" w:space="0" w:color="000000"/>
            </w:tcBorders>
            <w:shd w:color="auto" w:fill="E0E0E0" w:val="clear"/>
            <w:vAlign w:val="center"/>
          </w:tcPr>
          <w:p>
            <w:pPr>
              <w:pStyle w:val="Normal"/>
              <w:widowControl w:val="false"/>
              <w:ind w:left="144" w:right="116" w:hanging="0"/>
              <w:jc w:val="center"/>
              <w:textAlignment w:val="baseline"/>
              <w:rPr>
                <w:rFonts w:eastAsia="SimSun"/>
                <w:bCs/>
                <w:kern w:val="2"/>
                <w:sz w:val="22"/>
                <w:szCs w:val="22"/>
                <w:lang w:val="uk-UA" w:eastAsia="zh-CN" w:bidi="hi-IN"/>
              </w:rPr>
            </w:pPr>
            <w:r>
              <w:rPr>
                <w:rFonts w:eastAsia="SimSun"/>
                <w:bCs/>
                <w:kern w:val="2"/>
                <w:sz w:val="22"/>
                <w:szCs w:val="22"/>
                <w:lang w:val="uk-UA" w:eastAsia="zh-CN" w:bidi="hi-IN"/>
              </w:rPr>
              <w:t>Загальна кількість</w:t>
            </w:r>
          </w:p>
        </w:tc>
        <w:tc>
          <w:tcPr>
            <w:tcW w:w="2024" w:type="dxa"/>
            <w:tcBorders>
              <w:top w:val="single" w:sz="4" w:space="0" w:color="000000"/>
              <w:left w:val="single" w:sz="4" w:space="0" w:color="000000"/>
              <w:bottom w:val="single" w:sz="4" w:space="0" w:color="000000"/>
              <w:right w:val="single" w:sz="4" w:space="0" w:color="000000"/>
            </w:tcBorders>
            <w:shd w:color="auto" w:fill="E0E0E0" w:val="clear"/>
            <w:vAlign w:val="center"/>
          </w:tcPr>
          <w:p>
            <w:pPr>
              <w:pStyle w:val="Normal"/>
              <w:widowControl w:val="false"/>
              <w:ind w:left="144" w:right="116" w:hanging="0"/>
              <w:jc w:val="center"/>
              <w:textAlignment w:val="baseline"/>
              <w:rPr>
                <w:rFonts w:eastAsia="SimSun"/>
                <w:bCs/>
                <w:kern w:val="2"/>
                <w:sz w:val="22"/>
                <w:szCs w:val="22"/>
                <w:lang w:val="uk-UA" w:eastAsia="zh-CN" w:bidi="hi-IN"/>
              </w:rPr>
            </w:pPr>
            <w:r>
              <w:rPr>
                <w:rFonts w:eastAsia="SimSun"/>
                <w:bCs/>
                <w:kern w:val="2"/>
                <w:sz w:val="22"/>
                <w:szCs w:val="22"/>
                <w:lang w:val="uk-UA" w:eastAsia="zh-CN" w:bidi="hi-IN"/>
              </w:rPr>
              <w:t>Працівники прийняті на роботу протягом звітного періоду</w:t>
            </w:r>
          </w:p>
        </w:tc>
        <w:tc>
          <w:tcPr>
            <w:tcW w:w="2023" w:type="dxa"/>
            <w:tcBorders>
              <w:top w:val="single" w:sz="4" w:space="0" w:color="000000"/>
              <w:left w:val="single" w:sz="4" w:space="0" w:color="000000"/>
              <w:bottom w:val="single" w:sz="4" w:space="0" w:color="000000"/>
              <w:right w:val="single" w:sz="4" w:space="0" w:color="000000"/>
            </w:tcBorders>
            <w:shd w:color="auto" w:fill="E0E0E0" w:val="clear"/>
            <w:vAlign w:val="center"/>
          </w:tcPr>
          <w:p>
            <w:pPr>
              <w:pStyle w:val="Normal"/>
              <w:widowControl w:val="false"/>
              <w:ind w:left="144" w:right="116" w:hanging="0"/>
              <w:jc w:val="center"/>
              <w:textAlignment w:val="baseline"/>
              <w:rPr>
                <w:rFonts w:eastAsia="SimSun"/>
                <w:bCs/>
                <w:kern w:val="2"/>
                <w:sz w:val="22"/>
                <w:szCs w:val="22"/>
                <w:lang w:val="uk-UA" w:eastAsia="zh-CN" w:bidi="hi-IN"/>
              </w:rPr>
            </w:pPr>
            <w:r>
              <w:rPr>
                <w:rFonts w:eastAsia="SimSun"/>
                <w:bCs/>
                <w:kern w:val="2"/>
                <w:sz w:val="22"/>
                <w:szCs w:val="22"/>
                <w:lang w:val="uk-UA" w:eastAsia="zh-CN" w:bidi="hi-IN"/>
              </w:rPr>
              <w:t>Звільнені працівники протягом цього звітного періоду</w:t>
            </w:r>
          </w:p>
        </w:tc>
      </w:tr>
      <w:tr>
        <w:trPr>
          <w:trHeight w:val="452" w:hRule="atLeast"/>
        </w:trPr>
        <w:tc>
          <w:tcPr>
            <w:tcW w:w="3696" w:type="dxa"/>
            <w:tcBorders>
              <w:top w:val="single" w:sz="4" w:space="0" w:color="000000"/>
              <w:left w:val="single" w:sz="4" w:space="0" w:color="000000"/>
              <w:bottom w:val="single" w:sz="4" w:space="0" w:color="000000"/>
              <w:right w:val="single" w:sz="4" w:space="0" w:color="000000"/>
            </w:tcBorders>
            <w:shd w:color="auto" w:fill="E0E0E0" w:val="clear"/>
          </w:tcPr>
          <w:p>
            <w:pPr>
              <w:pStyle w:val="Normal"/>
              <w:widowControl w:val="false"/>
              <w:ind w:left="144" w:right="116" w:hanging="0"/>
              <w:jc w:val="both"/>
              <w:textAlignment w:val="baseline"/>
              <w:rPr>
                <w:rFonts w:eastAsia="SimSun"/>
                <w:bCs/>
                <w:kern w:val="2"/>
                <w:sz w:val="22"/>
                <w:szCs w:val="22"/>
                <w:lang w:val="uk-UA" w:eastAsia="zh-CN" w:bidi="hi-IN"/>
              </w:rPr>
            </w:pPr>
            <w:r>
              <w:rPr>
                <w:rFonts w:eastAsia="SimSun"/>
                <w:bCs/>
                <w:kern w:val="2"/>
                <w:sz w:val="22"/>
                <w:szCs w:val="22"/>
                <w:lang w:val="uk-UA" w:eastAsia="zh-CN" w:bidi="hi-IN"/>
              </w:rPr>
              <w:t>Кількість працівників на безстроковій та контрактній основі:</w:t>
            </w:r>
          </w:p>
        </w:tc>
        <w:tc>
          <w:tcPr>
            <w:tcW w:w="1894"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jc w:val="both"/>
              <w:textAlignment w:val="baseline"/>
              <w:rPr>
                <w:rFonts w:eastAsia="SimSun"/>
                <w:kern w:val="2"/>
                <w:sz w:val="22"/>
                <w:szCs w:val="22"/>
                <w:lang w:val="uk-UA" w:eastAsia="zh-CN" w:bidi="hi-IN"/>
              </w:rPr>
            </w:pPr>
            <w:r>
              <w:rPr>
                <w:rFonts w:eastAsia="SimSun"/>
                <w:kern w:val="2"/>
                <w:sz w:val="22"/>
                <w:szCs w:val="22"/>
                <w:lang w:val="uk-UA" w:eastAsia="zh-CN" w:bidi="hi-IN"/>
              </w:rPr>
              <w:t>410</w:t>
            </w:r>
          </w:p>
        </w:tc>
        <w:tc>
          <w:tcPr>
            <w:tcW w:w="2024"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jc w:val="both"/>
              <w:textAlignment w:val="baseline"/>
              <w:rPr>
                <w:rFonts w:eastAsia="SimSun"/>
                <w:kern w:val="2"/>
                <w:sz w:val="22"/>
                <w:szCs w:val="22"/>
                <w:lang w:val="uk-UA" w:eastAsia="zh-CN" w:bidi="hi-IN"/>
              </w:rPr>
            </w:pPr>
            <w:r>
              <w:rPr>
                <w:rFonts w:eastAsia="SimSun"/>
                <w:kern w:val="2"/>
                <w:sz w:val="22"/>
                <w:szCs w:val="22"/>
                <w:lang w:val="uk-UA" w:eastAsia="zh-CN" w:bidi="hi-IN"/>
              </w:rPr>
              <w:t>32</w:t>
            </w:r>
          </w:p>
        </w:tc>
        <w:tc>
          <w:tcPr>
            <w:tcW w:w="2023"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jc w:val="both"/>
              <w:textAlignment w:val="baseline"/>
              <w:rPr>
                <w:rFonts w:eastAsia="SimSun"/>
                <w:kern w:val="2"/>
                <w:sz w:val="22"/>
                <w:szCs w:val="22"/>
                <w:lang w:val="uk-UA" w:eastAsia="zh-CN" w:bidi="hi-IN"/>
              </w:rPr>
            </w:pPr>
            <w:r>
              <w:rPr>
                <w:rFonts w:eastAsia="SimSun"/>
                <w:kern w:val="2"/>
                <w:sz w:val="22"/>
                <w:szCs w:val="22"/>
                <w:lang w:val="uk-UA" w:eastAsia="zh-CN" w:bidi="hi-IN"/>
              </w:rPr>
              <w:t>87</w:t>
            </w:r>
          </w:p>
        </w:tc>
      </w:tr>
      <w:tr>
        <w:trPr>
          <w:trHeight w:val="545"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було будь-яке скорочення штатів протягом звітного періоду?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277"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textAlignment w:val="baseline"/>
              <w:rPr>
                <w:rFonts w:eastAsia="SimSun"/>
                <w:kern w:val="2"/>
                <w:sz w:val="22"/>
                <w:szCs w:val="22"/>
                <w:lang w:val="uk-UA" w:eastAsia="zh-CN" w:bidi="hi-IN"/>
              </w:rPr>
            </w:pPr>
            <w:r>
              <w:rPr>
                <w:rFonts w:eastAsia="SimSun"/>
                <w:kern w:val="2"/>
                <w:sz w:val="22"/>
                <w:szCs w:val="22"/>
                <w:shd w:fill="FFFFFF" w:val="clear"/>
                <w:lang w:val="uk-UA" w:eastAsia="zh-CN" w:bidi="hi-IN"/>
              </w:rPr>
              <w:t>До 01.06.2024 р. на підприємстві існував підрозділ, який містив у своїй структурі кондукторів електротранспорту. З 01.06.2024 р. в Тернополі було запроваджено автоматизовану систему оплати проїзду і підрозділ було ліквідовано. Кондукторам було запропоновано вакантні посади на Підприємстві: частину з них переведено контролерами, частину мийниками-прибиральниками рухомого складу, а решта звільнилися.</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заплановане скорочення робочої сили на наступний рік?</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shd w:fill="FFFFFF" w:val="clear"/>
                <w:lang w:val="uk-UA" w:eastAsia="zh-CN" w:bidi="hi-IN"/>
              </w:rPr>
              <w:t>Скорочення робочої сили  на наступний рік не заплановано, оскільки на Підприємстві спостерігається  гострий дефіцит кадрів. Основними причинами нестачі кадрів  є міграція містян за кордон і мобілізація до лав Збройних Сил України (ЗСУ) та сил Територіальної оборони (ТРО). Станом на 01.08.2025 р. Підприємство мало незаповнені вакансії тільки водіїв/водійок тролейбусів у кількості 38 осіб. До Центру зайнятості наданий Звіт про попит на робочу силу (вакансії) згідно з формою № 3-ПН, затвердженої Наказом Міністерства економіки України</w:t>
            </w:r>
            <w:r>
              <w:rPr>
                <w:rStyle w:val="Style12"/>
                <w:rFonts w:eastAsia="SimSun"/>
                <w:kern w:val="2"/>
                <w:sz w:val="22"/>
                <w:szCs w:val="22"/>
                <w:shd w:fill="FFFFFF" w:val="clear"/>
                <w:vertAlign w:val="superscript"/>
                <w:lang w:val="uk-UA" w:eastAsia="zh-CN" w:bidi="hi-IN"/>
              </w:rPr>
              <w:footnoteReference w:id="13"/>
            </w:r>
            <w:r>
              <w:rPr>
                <w:rFonts w:eastAsia="SimSun"/>
                <w:kern w:val="2"/>
                <w:sz w:val="22"/>
                <w:szCs w:val="22"/>
                <w:shd w:fill="FFFFFF" w:val="clear"/>
                <w:lang w:val="uk-UA" w:eastAsia="zh-CN" w:bidi="hi-IN"/>
              </w:rPr>
              <w:t xml:space="preserve"> від 12 квітня 2022 року № 827-22 (додаток 15).</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відбулись будь-які зміни представництва профспілки на Підприємстві протягом звітного періоду?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 xml:space="preserve">Головою профспілки Підприємства є Гільтай Світлана Володимирівна, головна бухгалтерка Підприємства, членкиня ГРП. У зв'язку з воєнним станом вибори керівництва профспілки не проводилися. На роботу профспілки та її голови немає жодних нарікань. Пропозицій щодо зміни представництва профспілки за звітний період не надходило. Після закінчення терміну дії, Колективний договір продовжує діяти до моменту, коли сторони укладуть новий або внесуть зміни та доповнення до чинного. Оскільки змін та доповнень до чинного Колективного договору не було, він продовжує діяти. Також, відповідно до п. 2 постанови </w:t>
            </w:r>
            <w:r>
              <w:rPr>
                <w:rFonts w:eastAsia="SimSun"/>
                <w:kern w:val="2"/>
                <w:sz w:val="22"/>
                <w:szCs w:val="22"/>
                <w:shd w:fill="FFFFFF" w:val="clear"/>
                <w:lang w:val="en-US" w:eastAsia="zh-CN" w:bidi="hi-IN"/>
              </w:rPr>
              <w:t>VII</w:t>
            </w:r>
            <w:r>
              <w:rPr>
                <w:rFonts w:eastAsia="SimSun"/>
                <w:kern w:val="2"/>
                <w:sz w:val="22"/>
                <w:szCs w:val="22"/>
                <w:shd w:fill="FFFFFF" w:val="clear"/>
                <w:lang w:val="uk-UA" w:eastAsia="zh-CN" w:bidi="hi-IN"/>
              </w:rPr>
              <w:t xml:space="preserve"> Пленуму ЦК Профспілки працівників ЖКГ, місцевої промисловості, побутового  обслуговування населення України «Про відтермінування проведення звітно-виборчої кампанії у Профспілці» № Пл-7-5 від 18.04.2024 р., призначено термін проведення звітно-виборчої кампанії у Профспілці не пізніше 6-ти місяців із дня, наступного за днем опублікування Закону України або Указу Президента України про припинення чи скасування воєнного стану.</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існували будь-які інші представництва працівників (наприклад за відсутності профспілки)?</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Оскільки профспілка Підприємства активно працює, її діяльність задовольняє трудовий колектив, інших представництв працівників не існувало.</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відбулись будь-які зміни в положенні Колективних договорів?</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У положеннях Колективного договору, прийнятого 27 грудня 2018 року за звітний період змін не відбувалося. Після закінчення терміну дії, Колективний договір продовжує діяти до моменту, коли сторони укладуть новий або внесуть зміни та доповнення до чинного. Оскільки змін та доповнень до чинного Колективного договору не було, він продовжує діяти. У наступному звітному періоді передбачається внесення до Колективного договору положень про призначення уповноваженої особи з питань гендерної рівності, недопущення дискримінації,  гендерно зумовленого насильства та сексуальних домагань.</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bCs/>
                <w:kern w:val="2"/>
                <w:sz w:val="22"/>
                <w:szCs w:val="22"/>
                <w:lang w:val="uk-UA" w:eastAsia="zh-CN" w:bidi="hi-IN"/>
              </w:rPr>
              <w:t>Чи виникали будь-які трудові спори протягом звітного періоду?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highlight w:val="white"/>
                <w:lang w:val="uk-UA" w:eastAsia="zh-CN" w:bidi="hi-IN"/>
              </w:rPr>
            </w:pPr>
            <w:r>
              <w:rPr>
                <w:rFonts w:eastAsia="SimSun"/>
                <w:kern w:val="2"/>
                <w:sz w:val="22"/>
                <w:szCs w:val="22"/>
                <w:lang w:val="uk-UA" w:eastAsia="zh-CN" w:bidi="hi-IN"/>
              </w:rPr>
              <w:t>На Підприємстві трудові спори вирішуються із залученням представників профспілки та адміністрації. Протягом звітного періоду як індивідуальних, так і колективних трудових спорів не було.</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виникали будь-які скарги щодо занепокоєння протягом звітного періоду?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highlight w:val="white"/>
                <w:lang w:val="uk-UA" w:eastAsia="zh-CN" w:bidi="hi-IN"/>
              </w:rPr>
            </w:pPr>
            <w:r>
              <w:rPr>
                <w:rFonts w:eastAsia="SimSun"/>
                <w:kern w:val="2"/>
                <w:sz w:val="22"/>
                <w:szCs w:val="22"/>
                <w:lang w:val="uk-UA" w:eastAsia="zh-CN" w:bidi="hi-IN"/>
              </w:rPr>
              <w:t xml:space="preserve">Скарги/звернення щодо різних аспектів діяльності КП «Тернопільелектротранс» надходять в Управління  транспорту Тернопільської міської ради, звідти передаються на Підприємство для прийняття необхідних заходів та підготовки відповіді на скаргу/звернення. Крім того, у міських тролейбусах є повідомлення з </w:t>
            </w:r>
            <w:r>
              <w:rPr>
                <w:rFonts w:eastAsia="SimSun"/>
                <w:kern w:val="2"/>
                <w:sz w:val="22"/>
                <w:szCs w:val="22"/>
                <w:lang w:val="en-US" w:eastAsia="zh-CN" w:bidi="hi-IN"/>
              </w:rPr>
              <w:t>QR</w:t>
            </w:r>
            <w:r>
              <w:rPr>
                <w:rFonts w:eastAsia="SimSun"/>
                <w:kern w:val="2"/>
                <w:sz w:val="22"/>
                <w:szCs w:val="22"/>
                <w:lang w:val="uk-UA" w:eastAsia="zh-CN" w:bidi="hi-IN"/>
              </w:rPr>
              <w:t xml:space="preserve"> - кодом, що дозволяє пасажирам звертатися із скаргами/зверненнями у цифровому форматі. Протягом звітного періоду скарг щодо занепокоєння не зафіксовано. </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мали місце будь-які страйки або колективні розбіжності пов’язані з умовами праці на Підприємстві за звітний період?</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Умови праці детально прописані у Колективному договорі (додаток 10, розділ 2 «Трудові відносини, режим праці та відпочинку»), який захищає права працюючих на Підприємстві. Протягом звітного періоду будь-яких страйків та колективних розбіжностей стосовно умов праці на підприємстві не було.</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мали місце будь-які судові справи щодо питань умов праці протягом звітного періоду?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Профспілковий комітет та адміністрація Підприємства проводять нагляд за дотриманням норм умов праці, що прописані у Колективному договорі. Протягом звітного періоду будь-яких судових справ стосовно умов праці не було.</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Чи було внесено будь-які зміни до наступних норм, документів та вимог протягом звітного періоду:</w:t>
            </w:r>
          </w:p>
          <w:p>
            <w:pPr>
              <w:pStyle w:val="Normal"/>
              <w:widowControl w:val="false"/>
              <w:numPr>
                <w:ilvl w:val="0"/>
                <w:numId w:val="6"/>
              </w:numPr>
              <w:tabs>
                <w:tab w:val="clear" w:pos="708"/>
                <w:tab w:val="left" w:pos="415" w:leader="none"/>
              </w:tabs>
              <w:suppressAutoHyphens w:val="false"/>
              <w:ind w:left="427" w:right="116" w:hanging="283"/>
              <w:textAlignment w:val="baseline"/>
              <w:rPr>
                <w:rFonts w:eastAsia="SimSun"/>
                <w:kern w:val="2"/>
                <w:sz w:val="22"/>
                <w:szCs w:val="22"/>
                <w:lang w:val="uk-UA" w:eastAsia="zh-CN" w:bidi="hi-IN"/>
              </w:rPr>
            </w:pPr>
            <w:r>
              <w:rPr>
                <w:rFonts w:eastAsia="SimSun"/>
                <w:kern w:val="2"/>
                <w:sz w:val="22"/>
                <w:szCs w:val="22"/>
                <w:lang w:val="uk-UA" w:eastAsia="zh-CN" w:bidi="hi-IN"/>
              </w:rPr>
              <w:t>Однакова платня за однакову роботу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napToGrid w:val="false"/>
              <w:ind w:left="144" w:right="116" w:hanging="0"/>
              <w:jc w:val="center"/>
              <w:textAlignment w:val="baseline"/>
              <w:rPr>
                <w:rFonts w:eastAsia="SimSun"/>
                <w:kern w:val="2"/>
                <w:sz w:val="22"/>
                <w:szCs w:val="22"/>
                <w:lang w:val="uk-UA" w:eastAsia="zh-CN" w:bidi="hi-IN"/>
              </w:rPr>
            </w:pPr>
            <w:r>
              <w:rPr>
                <w:rFonts w:eastAsia="SimSun"/>
                <w:kern w:val="2"/>
                <w:sz w:val="22"/>
                <w:szCs w:val="22"/>
                <w:lang w:val="uk-UA" w:eastAsia="zh-CN" w:bidi="hi-IN"/>
              </w:rPr>
            </w:r>
          </w:p>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 xml:space="preserve">Протягом звітного періоду працівники, що займають рівноцінні посади та виконують однаковий обсяг робіт, незалежно від статі, отримують однакову зарплатню, пропорційно до відпрацьованого робочого часу. </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numPr>
                <w:ilvl w:val="0"/>
                <w:numId w:val="5"/>
              </w:numPr>
              <w:tabs>
                <w:tab w:val="clear" w:pos="708"/>
                <w:tab w:val="left" w:pos="407" w:leader="none"/>
              </w:tabs>
              <w:suppressAutoHyphens w:val="false"/>
              <w:ind w:left="427" w:right="116" w:hanging="283"/>
              <w:textAlignment w:val="baseline"/>
              <w:rPr>
                <w:rFonts w:eastAsia="SimSun"/>
                <w:kern w:val="2"/>
                <w:sz w:val="22"/>
                <w:szCs w:val="22"/>
                <w:lang w:val="uk-UA" w:eastAsia="zh-CN" w:bidi="hi-IN"/>
              </w:rPr>
            </w:pPr>
            <w:r>
              <w:rPr>
                <w:rFonts w:eastAsia="SimSun"/>
                <w:kern w:val="2"/>
                <w:sz w:val="22"/>
                <w:szCs w:val="22"/>
                <w:lang w:val="uk-UA" w:eastAsia="zh-CN" w:bidi="hi-IN"/>
              </w:rPr>
              <w:t>Заробітна платня (середня зарплатня, стандартна та за понаднормову роботу)</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Відповідно до Кодексу законів про працю України, Закону України «Про оплату праці», Галузевої Угоди між Міністерством інфраструктури  України і ЦК Профспілки працівників ЖКГ, місцевої промисловості, побутового обслуговування населення України, в КП «Тернопільелектротранс» розроблено Положення про оплату праці працівників. Протягом звітного періоду не було внесено жодних змін до цього Положення.</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numPr>
                <w:ilvl w:val="0"/>
                <w:numId w:val="5"/>
              </w:numPr>
              <w:tabs>
                <w:tab w:val="clear" w:pos="708"/>
                <w:tab w:val="left" w:pos="407" w:leader="none"/>
              </w:tabs>
              <w:suppressAutoHyphens w:val="false"/>
              <w:ind w:left="427" w:right="116" w:hanging="283"/>
              <w:textAlignment w:val="baseline"/>
              <w:rPr>
                <w:rFonts w:eastAsia="SimSun"/>
                <w:kern w:val="2"/>
                <w:sz w:val="22"/>
                <w:szCs w:val="22"/>
                <w:lang w:val="uk-UA" w:eastAsia="zh-CN" w:bidi="hi-IN"/>
              </w:rPr>
            </w:pPr>
            <w:r>
              <w:rPr>
                <w:rFonts w:eastAsia="SimSun"/>
                <w:kern w:val="2"/>
                <w:sz w:val="22"/>
                <w:szCs w:val="22"/>
                <w:lang w:val="uk-UA" w:eastAsia="zh-CN" w:bidi="hi-IN"/>
              </w:rPr>
              <w:t>Понаднормова робота</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Згідно зі статтею 106 Кодексу законів про працю України, понаднормова робота (понад встановлену тривалість робочого дня) за погодинною системою оплати праці оплачується в подвійному розмірі годинної ставки. Протягом звітного періоду змін цієї норми не відбувалося.</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numPr>
                <w:ilvl w:val="0"/>
                <w:numId w:val="5"/>
              </w:numPr>
              <w:tabs>
                <w:tab w:val="clear" w:pos="708"/>
                <w:tab w:val="left" w:pos="407" w:leader="none"/>
              </w:tabs>
              <w:suppressAutoHyphens w:val="false"/>
              <w:ind w:left="427" w:right="116" w:hanging="283"/>
              <w:textAlignment w:val="baseline"/>
              <w:rPr>
                <w:rFonts w:eastAsia="SimSun"/>
                <w:kern w:val="2"/>
                <w:sz w:val="22"/>
                <w:szCs w:val="22"/>
                <w:lang w:val="uk-UA" w:eastAsia="zh-CN" w:bidi="hi-IN"/>
              </w:rPr>
            </w:pPr>
            <w:r>
              <w:rPr>
                <w:rFonts w:eastAsia="SimSun"/>
                <w:kern w:val="2"/>
                <w:sz w:val="22"/>
                <w:szCs w:val="22"/>
                <w:lang w:val="uk-UA" w:eastAsia="zh-CN" w:bidi="hi-IN"/>
              </w:rPr>
              <w:t>Робочі години</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 xml:space="preserve">Протягом звітного періоду тривалість робочого дня на підприємстві становить 8 годин, з 8:00 до 17:00 із годинною перервою на обід. Змін у робочих годинах не відбувалося. У деяких підрозділах підприємства застосовується графік змінності. За цими графіками працюють водії тролейбусів та автобусів, робітники, що займаються ремонтом та обслуговуванням рухомого складу, контактно-кабельної мережі та тягових підстанцій. </w:t>
            </w:r>
          </w:p>
        </w:tc>
      </w:tr>
      <w:tr>
        <w:trPr>
          <w:trHeight w:val="430" w:hRule="atLeast"/>
        </w:trPr>
        <w:tc>
          <w:tcPr>
            <w:tcW w:w="3696" w:type="dxa"/>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numPr>
                <w:ilvl w:val="0"/>
                <w:numId w:val="5"/>
              </w:numPr>
              <w:tabs>
                <w:tab w:val="clear" w:pos="708"/>
                <w:tab w:val="left" w:pos="407" w:leader="none"/>
              </w:tabs>
              <w:suppressAutoHyphens w:val="false"/>
              <w:ind w:left="427" w:right="116" w:hanging="283"/>
              <w:textAlignment w:val="baseline"/>
              <w:rPr>
                <w:rFonts w:eastAsia="SimSun"/>
                <w:kern w:val="2"/>
                <w:sz w:val="22"/>
                <w:szCs w:val="22"/>
                <w:lang w:val="uk-UA" w:eastAsia="zh-CN" w:bidi="hi-IN"/>
              </w:rPr>
            </w:pPr>
            <w:r>
              <w:rPr>
                <w:rFonts w:eastAsia="SimSun"/>
                <w:kern w:val="2"/>
                <w:sz w:val="22"/>
                <w:szCs w:val="22"/>
                <w:lang w:val="uk-UA" w:eastAsia="zh-CN" w:bidi="hi-IN"/>
              </w:rPr>
              <w:t>Гнучкий робочий графік</w:t>
            </w:r>
          </w:p>
        </w:tc>
        <w:tc>
          <w:tcPr>
            <w:tcW w:w="1451"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ind w:left="144" w:right="116" w:hanging="0"/>
              <w:jc w:val="center"/>
              <w:textAlignment w:val="baseline"/>
              <w:rPr>
                <w:rFonts w:eastAsia="SimSun"/>
                <w:kern w:val="2"/>
                <w:sz w:val="22"/>
                <w:szCs w:val="22"/>
                <w:highlight w:val="white"/>
                <w:lang w:val="uk-UA" w:eastAsia="zh-CN" w:bidi="hi-IN"/>
              </w:rPr>
            </w:pPr>
            <w:r>
              <w:rPr>
                <w:rFonts w:eastAsia="SimSun"/>
                <w:kern w:val="2"/>
                <w:sz w:val="22"/>
                <w:szCs w:val="22"/>
                <w:shd w:fill="FFFFFF" w:val="clear"/>
                <w:lang w:val="uk-UA" w:eastAsia="zh-CN" w:bidi="hi-IN"/>
              </w:rPr>
              <w:t>ні</w:t>
            </w:r>
          </w:p>
        </w:tc>
        <w:tc>
          <w:tcPr>
            <w:tcW w:w="4490" w:type="dxa"/>
            <w:gridSpan w:val="3"/>
            <w:tcBorders>
              <w:top w:val="single" w:sz="4" w:space="0" w:color="000000"/>
              <w:left w:val="single" w:sz="4" w:space="0" w:color="000000"/>
              <w:bottom w:val="single" w:sz="4" w:space="0" w:color="000000"/>
              <w:right w:val="single" w:sz="4" w:space="0" w:color="000000"/>
            </w:tcBorders>
            <w:shd w:fill="auto" w:val="clear"/>
          </w:tcPr>
          <w:p>
            <w:pPr>
              <w:pStyle w:val="Normal"/>
              <w:widowControl w:val="false"/>
              <w:shd w:val="clear" w:color="auto" w:fill="FFFFFF"/>
              <w:snapToGrid w:val="false"/>
              <w:ind w:left="144" w:right="116" w:hanging="0"/>
              <w:textAlignment w:val="baseline"/>
              <w:rPr>
                <w:rFonts w:eastAsia="SimSun"/>
                <w:kern w:val="2"/>
                <w:sz w:val="22"/>
                <w:szCs w:val="22"/>
                <w:lang w:val="uk-UA" w:eastAsia="zh-CN" w:bidi="hi-IN"/>
              </w:rPr>
            </w:pPr>
            <w:r>
              <w:rPr>
                <w:rFonts w:eastAsia="SimSun"/>
                <w:kern w:val="2"/>
                <w:sz w:val="22"/>
                <w:szCs w:val="22"/>
                <w:lang w:val="uk-UA" w:eastAsia="zh-CN" w:bidi="hi-IN"/>
              </w:rPr>
              <w:t>Протягом звітного періоду змін щодо гнучкого робочого графіку не відбувалося. Такий графік може застосовуватися за домовленістю керівництва та працівника/ці. Зокрема, відповідно до ст.56 Кодексу законів про працю України, за бажанням жінки з маленькими дітьми можуть працювати неповний робочий час (не на повну ставку) з оплатою праці відповідно до відпрацьованого робочого часу.</w:t>
            </w:r>
          </w:p>
        </w:tc>
      </w:tr>
    </w:tbl>
    <w:p>
      <w:pPr>
        <w:pStyle w:val="Normal"/>
        <w:jc w:val="both"/>
        <w:rPr>
          <w:sz w:val="18"/>
          <w:szCs w:val="18"/>
        </w:rPr>
      </w:pPr>
      <w:r>
        <w:rPr>
          <w:sz w:val="18"/>
          <w:szCs w:val="18"/>
        </w:rPr>
      </w:r>
    </w:p>
    <w:p>
      <w:pPr>
        <w:sectPr>
          <w:headerReference w:type="default" r:id="rId2"/>
          <w:footerReference w:type="default" r:id="rId3"/>
          <w:footnotePr>
            <w:numFmt w:val="decimal"/>
          </w:footnotePr>
          <w:type w:val="nextPage"/>
          <w:pgSz w:w="11906" w:h="16838"/>
          <w:pgMar w:left="1134" w:right="1134" w:header="720" w:top="1134" w:footer="709" w:bottom="1134" w:gutter="0"/>
          <w:pgNumType w:fmt="decimal"/>
          <w:formProt w:val="false"/>
          <w:textDirection w:val="lrTb"/>
          <w:docGrid w:type="default" w:linePitch="600" w:charSpace="32768"/>
        </w:sectPr>
        <w:pStyle w:val="Normal"/>
        <w:jc w:val="both"/>
        <w:rPr>
          <w:sz w:val="18"/>
          <w:szCs w:val="18"/>
        </w:rPr>
      </w:pPr>
      <w:r>
        <w:rPr>
          <w:sz w:val="18"/>
          <w:szCs w:val="18"/>
        </w:rPr>
      </w:r>
    </w:p>
    <w:p>
      <w:pPr>
        <w:pStyle w:val="8"/>
        <w:jc w:val="right"/>
        <w:rPr>
          <w:sz w:val="22"/>
          <w:szCs w:val="22"/>
          <w:lang w:val="ru-RU"/>
        </w:rPr>
      </w:pPr>
      <w:r>
        <w:rPr>
          <w:sz w:val="22"/>
          <w:szCs w:val="22"/>
          <w:lang w:val="ru-RU"/>
        </w:rPr>
        <w:t>Додаток 1</w:t>
      </w:r>
    </w:p>
    <w:p>
      <w:pPr>
        <w:pStyle w:val="Normal"/>
        <w:jc w:val="center"/>
        <w:rPr>
          <w:b/>
          <w:b/>
          <w:bCs/>
          <w:sz w:val="22"/>
          <w:szCs w:val="22"/>
          <w:lang w:val="uk-UA"/>
        </w:rPr>
      </w:pPr>
      <w:r>
        <w:rPr>
          <w:b/>
          <w:bCs/>
          <w:sz w:val="22"/>
          <w:szCs w:val="22"/>
          <w:lang w:val="uk-UA"/>
        </w:rPr>
        <w:t>План екологічних, соціальних та гендерних заходів КП «ТЕТ» (ESAP)</w:t>
      </w:r>
    </w:p>
    <w:p>
      <w:pPr>
        <w:pStyle w:val="Normal"/>
        <w:rPr>
          <w:rFonts w:cs="Arial"/>
          <w:b/>
          <w:b/>
          <w:bCs/>
          <w:lang w:eastAsia="en-GB"/>
        </w:rPr>
      </w:pPr>
      <w:r>
        <w:rPr>
          <w:rFonts w:cs="Arial"/>
          <w:b/>
          <w:bCs/>
          <w:lang w:eastAsia="en-GB"/>
        </w:rPr>
      </w:r>
    </w:p>
    <w:tbl>
      <w:tblPr>
        <w:tblW w:w="5000" w:type="pct"/>
        <w:jc w:val="left"/>
        <w:tblInd w:w="0" w:type="dxa"/>
        <w:tblCellMar>
          <w:top w:w="15" w:type="dxa"/>
          <w:left w:w="11" w:type="dxa"/>
          <w:bottom w:w="0" w:type="dxa"/>
          <w:right w:w="11" w:type="dxa"/>
        </w:tblCellMar>
        <w:tblLook w:firstRow="0" w:noVBand="0" w:lastRow="0" w:firstColumn="0" w:lastColumn="0" w:noHBand="0" w:val="0000"/>
      </w:tblPr>
      <w:tblGrid>
        <w:gridCol w:w="361"/>
        <w:gridCol w:w="2464"/>
        <w:gridCol w:w="1729"/>
        <w:gridCol w:w="396"/>
        <w:gridCol w:w="1418"/>
        <w:gridCol w:w="2271"/>
        <w:gridCol w:w="761"/>
        <w:gridCol w:w="743"/>
        <w:gridCol w:w="55"/>
        <w:gridCol w:w="1986"/>
        <w:gridCol w:w="828"/>
        <w:gridCol w:w="1"/>
        <w:gridCol w:w="305"/>
        <w:gridCol w:w="7"/>
        <w:gridCol w:w="1072"/>
        <w:gridCol w:w="2"/>
        <w:gridCol w:w="77"/>
        <w:gridCol w:w="2"/>
        <w:gridCol w:w="90"/>
      </w:tblGrid>
      <w:tr>
        <w:trPr>
          <w:tblHeader w:val="true"/>
          <w:trHeight w:val="20" w:hRule="atLeast"/>
        </w:trPr>
        <w:tc>
          <w:tcPr>
            <w:tcW w:w="361" w:type="dxa"/>
            <w:tcBorders>
              <w:bottom w:val="single" w:sz="18" w:space="0" w:color="262626"/>
              <w:righ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No</w:t>
            </w:r>
          </w:p>
        </w:tc>
        <w:tc>
          <w:tcPr>
            <w:tcW w:w="2464" w:type="dxa"/>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Дія</w:t>
            </w:r>
          </w:p>
        </w:tc>
        <w:tc>
          <w:tcPr>
            <w:tcW w:w="2125" w:type="dxa"/>
            <w:gridSpan w:val="2"/>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 xml:space="preserve">Екологічні </w:t>
              <w:br/>
              <w:t xml:space="preserve">та соціальні ризики </w:t>
              <w:br/>
              <w:t>/ Переваги</w:t>
            </w:r>
          </w:p>
        </w:tc>
        <w:tc>
          <w:tcPr>
            <w:tcW w:w="1418" w:type="dxa"/>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b/>
                <w:b/>
                <w:bCs/>
                <w:color w:val="FFFFFF" w:themeColor="background1"/>
                <w:sz w:val="18"/>
                <w:szCs w:val="18"/>
                <w:lang w:val="uk-UA"/>
              </w:rPr>
            </w:pPr>
            <w:r>
              <w:rPr>
                <w:b/>
                <w:bCs/>
                <w:color w:val="FFFFFF" w:themeColor="background1"/>
                <w:sz w:val="18"/>
                <w:szCs w:val="18"/>
                <w:lang w:val="uk-UA"/>
              </w:rPr>
              <w:t>Довідковий стандарт</w:t>
            </w:r>
          </w:p>
          <w:p>
            <w:pPr>
              <w:pStyle w:val="Normal"/>
              <w:spacing w:lineRule="auto" w:line="228"/>
              <w:jc w:val="center"/>
              <w:rPr>
                <w:b/>
                <w:b/>
                <w:bCs/>
                <w:color w:val="FFFFFF" w:themeColor="background1"/>
                <w:sz w:val="18"/>
                <w:szCs w:val="18"/>
                <w:lang w:val="uk-UA"/>
              </w:rPr>
            </w:pPr>
            <w:r>
              <w:rPr>
                <w:b/>
                <w:bCs/>
                <w:color w:val="FFFFFF" w:themeColor="background1"/>
                <w:sz w:val="18"/>
                <w:szCs w:val="18"/>
                <w:lang w:val="uk-UA"/>
              </w:rPr>
              <w:t>(EBRD PR/ законодавство /</w:t>
            </w:r>
          </w:p>
          <w:p>
            <w:pPr>
              <w:pStyle w:val="Normal"/>
              <w:spacing w:lineRule="auto" w:line="228"/>
              <w:jc w:val="center"/>
              <w:rPr>
                <w:color w:val="FFFFFF" w:themeColor="background1"/>
                <w:sz w:val="18"/>
                <w:szCs w:val="18"/>
                <w:lang w:val="uk-UA"/>
              </w:rPr>
            </w:pPr>
            <w:r>
              <w:rPr>
                <w:b/>
                <w:bCs/>
                <w:color w:val="FFFFFF" w:themeColor="background1"/>
                <w:sz w:val="18"/>
                <w:szCs w:val="18"/>
                <w:lang w:val="uk-UA"/>
              </w:rPr>
              <w:t>найкраща практика)</w:t>
            </w:r>
          </w:p>
        </w:tc>
        <w:tc>
          <w:tcPr>
            <w:tcW w:w="2271" w:type="dxa"/>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b/>
                <w:b/>
                <w:bCs/>
                <w:color w:val="FFFFFF" w:themeColor="background1"/>
                <w:sz w:val="18"/>
                <w:szCs w:val="18"/>
                <w:lang w:val="uk-UA"/>
              </w:rPr>
            </w:pPr>
            <w:r>
              <w:rPr>
                <w:b/>
                <w:bCs/>
                <w:color w:val="FFFFFF" w:themeColor="background1"/>
                <w:sz w:val="18"/>
                <w:szCs w:val="18"/>
                <w:lang w:val="uk-UA"/>
              </w:rPr>
              <w:t>Інвестиційні</w:t>
            </w:r>
          </w:p>
          <w:p>
            <w:pPr>
              <w:pStyle w:val="Normal"/>
              <w:spacing w:lineRule="auto" w:line="228"/>
              <w:jc w:val="center"/>
              <w:rPr>
                <w:color w:val="FFFFFF" w:themeColor="background1"/>
                <w:sz w:val="18"/>
                <w:szCs w:val="18"/>
                <w:lang w:val="uk-UA"/>
              </w:rPr>
            </w:pPr>
            <w:r>
              <w:rPr>
                <w:b/>
                <w:bCs/>
                <w:color w:val="FFFFFF" w:themeColor="background1"/>
                <w:sz w:val="18"/>
                <w:szCs w:val="18"/>
                <w:lang w:val="uk-UA"/>
              </w:rPr>
              <w:t>потреби/ Ресурси</w:t>
            </w:r>
          </w:p>
        </w:tc>
        <w:tc>
          <w:tcPr>
            <w:tcW w:w="1504" w:type="dxa"/>
            <w:gridSpan w:val="2"/>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Цільова дата</w:t>
            </w:r>
          </w:p>
        </w:tc>
        <w:tc>
          <w:tcPr>
            <w:tcW w:w="2041" w:type="dxa"/>
            <w:gridSpan w:val="2"/>
            <w:tcBorders>
              <w:left w:val="dashSmallGap" w:sz="8" w:space="0" w:color="7F7F7F"/>
              <w:bottom w:val="single" w:sz="18" w:space="0" w:color="262626"/>
              <w:righ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Контроль</w:t>
            </w:r>
          </w:p>
        </w:tc>
        <w:tc>
          <w:tcPr>
            <w:tcW w:w="1134" w:type="dxa"/>
            <w:gridSpan w:val="3"/>
            <w:tcBorders>
              <w:left w:val="dashSmallGap" w:sz="8" w:space="0" w:color="7F7F7F"/>
            </w:tcBorders>
            <w:shd w:color="auto" w:fill="B60E59" w:val="clear"/>
            <w:vAlign w:val="center"/>
          </w:tcPr>
          <w:p>
            <w:pPr>
              <w:pStyle w:val="Normal"/>
              <w:spacing w:lineRule="auto" w:line="228"/>
              <w:jc w:val="center"/>
              <w:rPr>
                <w:color w:val="FFFFFF" w:themeColor="background1"/>
                <w:sz w:val="18"/>
                <w:szCs w:val="18"/>
                <w:lang w:val="uk-UA"/>
              </w:rPr>
            </w:pPr>
            <w:r>
              <w:rPr>
                <w:b/>
                <w:bCs/>
                <w:color w:val="FFFFFF" w:themeColor="background1"/>
                <w:sz w:val="18"/>
                <w:szCs w:val="18"/>
                <w:lang w:val="uk-UA"/>
              </w:rPr>
              <w:t>Коментарі</w:t>
            </w:r>
          </w:p>
        </w:tc>
        <w:tc>
          <w:tcPr>
            <w:tcW w:w="1250" w:type="dxa"/>
            <w:gridSpan w:val="6"/>
            <w:tcBorders>
              <w:left w:val="dashSmallGap" w:sz="8" w:space="0" w:color="7F7F7F"/>
            </w:tcBorders>
            <w:shd w:color="auto" w:fill="B60E59" w:val="clear"/>
            <w:tcMar>
              <w:top w:w="14" w:type="dxa"/>
              <w:left w:w="43" w:type="dxa"/>
              <w:bottom w:w="14" w:type="dxa"/>
              <w:right w:w="43" w:type="dxa"/>
            </w:tcMar>
            <w:vAlign w:val="center"/>
          </w:tcPr>
          <w:p>
            <w:pPr>
              <w:pStyle w:val="Normal"/>
              <w:spacing w:lineRule="auto" w:line="228"/>
              <w:jc w:val="center"/>
              <w:rPr>
                <w:b/>
                <w:b/>
                <w:bCs/>
                <w:color w:val="FFFFFF" w:themeColor="background1"/>
                <w:sz w:val="18"/>
                <w:szCs w:val="18"/>
                <w:lang w:val="uk-UA"/>
              </w:rPr>
            </w:pPr>
            <w:r>
              <w:rPr>
                <w:b/>
                <w:bCs/>
                <w:color w:val="FFFFFF" w:themeColor="background1"/>
                <w:sz w:val="18"/>
                <w:szCs w:val="18"/>
                <w:lang w:val="uk-UA"/>
              </w:rPr>
              <w:t>Статус виконання</w:t>
            </w:r>
          </w:p>
        </w:tc>
      </w:tr>
      <w:tr>
        <w:trPr>
          <w:trHeight w:val="20" w:hRule="atLeast"/>
        </w:trPr>
        <w:tc>
          <w:tcPr>
            <w:tcW w:w="4554" w:type="dxa"/>
            <w:gridSpan w:val="3"/>
            <w:tcBorders>
              <w:top w:val="single" w:sz="18" w:space="0" w:color="262626"/>
              <w:bottom w:val="single" w:sz="12" w:space="0" w:color="262626"/>
            </w:tcBorders>
            <w:shd w:fill="auto" w:val="clear"/>
            <w:tcMar>
              <w:left w:w="144" w:type="dxa"/>
            </w:tcMar>
            <w:vAlign w:val="center"/>
          </w:tcPr>
          <w:p>
            <w:pPr>
              <w:pStyle w:val="Normal"/>
              <w:spacing w:lineRule="auto" w:line="252"/>
              <w:rPr>
                <w:b/>
                <w:b/>
                <w:bCs/>
                <w:sz w:val="18"/>
                <w:szCs w:val="18"/>
                <w:lang w:val="uk-UA"/>
              </w:rPr>
            </w:pPr>
            <w:r>
              <w:rPr>
                <w:b/>
                <w:bCs/>
                <w:sz w:val="18"/>
                <w:szCs w:val="18"/>
                <w:lang w:val="uk-UA"/>
              </w:rPr>
              <w:t>Поточна робота КП «ТЕТ»</w:t>
            </w:r>
          </w:p>
        </w:tc>
        <w:tc>
          <w:tcPr>
            <w:tcW w:w="4846" w:type="dxa"/>
            <w:gridSpan w:val="4"/>
            <w:tcBorders>
              <w:top w:val="single" w:sz="18" w:space="0" w:color="262626"/>
              <w:bottom w:val="single" w:sz="12" w:space="0" w:color="262626"/>
            </w:tcBorders>
            <w:shd w:fill="auto" w:val="clear"/>
            <w:tcMar>
              <w:top w:w="14" w:type="dxa"/>
              <w:left w:w="43" w:type="dxa"/>
              <w:bottom w:w="14" w:type="dxa"/>
              <w:right w:w="43" w:type="dxa"/>
            </w:tcMar>
            <w:vAlign w:val="center"/>
          </w:tcPr>
          <w:p>
            <w:pPr>
              <w:pStyle w:val="Normal"/>
              <w:spacing w:lineRule="auto" w:line="252"/>
              <w:rPr>
                <w:b/>
                <w:b/>
                <w:bCs/>
                <w:sz w:val="18"/>
                <w:szCs w:val="18"/>
                <w:lang w:val="uk-UA"/>
              </w:rPr>
            </w:pPr>
            <w:r>
              <w:rPr>
                <w:b/>
                <w:bCs/>
                <w:sz w:val="18"/>
                <w:szCs w:val="18"/>
                <w:lang w:val="uk-UA"/>
              </w:rPr>
            </w:r>
          </w:p>
        </w:tc>
        <w:tc>
          <w:tcPr>
            <w:tcW w:w="3612" w:type="dxa"/>
            <w:gridSpan w:val="4"/>
            <w:tcBorders>
              <w:top w:val="single" w:sz="18" w:space="0" w:color="262626"/>
              <w:bottom w:val="single" w:sz="12" w:space="0" w:color="262626"/>
            </w:tcBorders>
            <w:shd w:fill="auto" w:val="clear"/>
            <w:tcMar>
              <w:top w:w="14" w:type="dxa"/>
              <w:left w:w="43" w:type="dxa"/>
              <w:bottom w:w="14" w:type="dxa"/>
              <w:right w:w="43" w:type="dxa"/>
            </w:tcMar>
            <w:vAlign w:val="center"/>
          </w:tcPr>
          <w:p>
            <w:pPr>
              <w:pStyle w:val="Normal"/>
              <w:spacing w:lineRule="auto" w:line="252"/>
              <w:rPr>
                <w:b/>
                <w:b/>
                <w:bCs/>
                <w:sz w:val="18"/>
                <w:szCs w:val="18"/>
                <w:lang w:val="uk-UA"/>
              </w:rPr>
            </w:pPr>
            <w:r>
              <w:rPr>
                <w:b/>
                <w:bCs/>
                <w:sz w:val="18"/>
                <w:szCs w:val="18"/>
                <w:lang w:val="uk-UA"/>
              </w:rPr>
            </w:r>
          </w:p>
        </w:tc>
        <w:tc>
          <w:tcPr>
            <w:tcW w:w="1385" w:type="dxa"/>
            <w:gridSpan w:val="4"/>
            <w:tcBorders>
              <w:top w:val="single" w:sz="18" w:space="0" w:color="262626"/>
              <w:bottom w:val="single" w:sz="12" w:space="0" w:color="262626"/>
            </w:tcBorders>
            <w:shd w:fill="auto" w:val="clear"/>
            <w:tcMar>
              <w:top w:w="14" w:type="dxa"/>
              <w:left w:w="43" w:type="dxa"/>
              <w:bottom w:w="14" w:type="dxa"/>
              <w:right w:w="43" w:type="dxa"/>
            </w:tcMar>
          </w:tcPr>
          <w:p>
            <w:pPr>
              <w:pStyle w:val="Normal"/>
              <w:spacing w:lineRule="auto" w:line="252"/>
              <w:ind w:left="-342" w:right="-788" w:hanging="0"/>
              <w:rPr>
                <w:b/>
                <w:b/>
                <w:bCs/>
                <w:sz w:val="18"/>
                <w:szCs w:val="18"/>
                <w:lang w:val="uk-UA"/>
              </w:rPr>
            </w:pPr>
            <w:r>
              <w:rPr>
                <w:b/>
                <w:bCs/>
                <w:sz w:val="18"/>
                <w:szCs w:val="18"/>
                <w:lang w:val="uk-UA"/>
              </w:rPr>
            </w:r>
          </w:p>
        </w:tc>
        <w:tc>
          <w:tcPr>
            <w:tcW w:w="79" w:type="dxa"/>
            <w:gridSpan w:val="2"/>
            <w:tcBorders/>
            <w:shd w:fill="auto" w:val="clear"/>
            <w:tcMar>
              <w:top w:w="14" w:type="dxa"/>
              <w:left w:w="43" w:type="dxa"/>
              <w:bottom w:w="14" w:type="dxa"/>
              <w:right w:w="43" w:type="dxa"/>
            </w:tcMar>
          </w:tcPr>
          <w:p>
            <w:pPr>
              <w:pStyle w:val="Normal"/>
              <w:rPr/>
            </w:pPr>
            <w:r>
              <w:rPr/>
            </w:r>
          </w:p>
        </w:tc>
        <w:tc>
          <w:tcPr>
            <w:tcW w:w="92" w:type="dxa"/>
            <w:gridSpan w:val="2"/>
            <w:tcBorders/>
            <w:shd w:fill="auto" w:val="clear"/>
            <w:tcMar>
              <w:top w:w="14" w:type="dxa"/>
              <w:left w:w="43" w:type="dxa"/>
              <w:bottom w:w="14" w:type="dxa"/>
              <w:right w:w="43" w:type="dxa"/>
            </w:tcMar>
          </w:tcPr>
          <w:p>
            <w:pPr>
              <w:pStyle w:val="Normal"/>
              <w:rPr/>
            </w:pPr>
            <w:r>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spacing w:lineRule="auto" w:line="252"/>
              <w:rPr>
                <w:color w:val="FFFFFF" w:themeColor="background1"/>
                <w:sz w:val="18"/>
                <w:szCs w:val="18"/>
                <w:lang w:val="uk-UA"/>
              </w:rPr>
            </w:pPr>
            <w:r>
              <w:rPr>
                <w:b/>
                <w:color w:val="FFFFFF" w:themeColor="background1"/>
                <w:sz w:val="18"/>
                <w:szCs w:val="18"/>
                <w:lang w:val="uk-UA"/>
              </w:rPr>
              <w:t>1. Оцінка та управління екологічними та соціальними впливами і проблемами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spacing w:lineRule="auto" w:line="252"/>
              <w:ind w:left="-342" w:right="-788" w:hanging="0"/>
              <w:rPr>
                <w:b/>
                <w:b/>
                <w:color w:val="FFFFFF" w:themeColor="background1"/>
                <w:sz w:val="18"/>
                <w:szCs w:val="18"/>
                <w:lang w:val="uk-UA"/>
              </w:rPr>
            </w:pPr>
            <w:r>
              <w:rPr>
                <w:b/>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12" w:space="0" w:color="262626"/>
              <w:bottom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1.1</w:t>
            </w:r>
          </w:p>
        </w:tc>
        <w:tc>
          <w:tcPr>
            <w:tcW w:w="2464" w:type="dxa"/>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TableParagraph"/>
              <w:spacing w:before="59" w:after="0"/>
              <w:rPr>
                <w:rFonts w:ascii="Times New Roman" w:hAnsi="Times New Roman" w:cs="Times New Roman"/>
                <w:sz w:val="18"/>
                <w:szCs w:val="18"/>
              </w:rPr>
            </w:pPr>
            <w:r>
              <w:rPr>
                <w:rFonts w:cs="Times New Roman" w:ascii="Times New Roman" w:hAnsi="Times New Roman"/>
                <w:sz w:val="18"/>
                <w:szCs w:val="18"/>
              </w:rPr>
              <w:t>Розробити та впровадити СЕСУ.</w:t>
            </w:r>
          </w:p>
          <w:p>
            <w:pPr>
              <w:pStyle w:val="TableParagraph"/>
              <w:spacing w:before="120" w:after="0"/>
              <w:rPr>
                <w:rFonts w:ascii="Times New Roman" w:hAnsi="Times New Roman" w:cs="Times New Roman"/>
                <w:sz w:val="18"/>
                <w:szCs w:val="18"/>
              </w:rPr>
            </w:pPr>
            <w:r>
              <w:rPr>
                <w:rFonts w:cs="Times New Roman" w:ascii="Times New Roman" w:hAnsi="Times New Roman"/>
                <w:sz w:val="18"/>
                <w:szCs w:val="18"/>
              </w:rPr>
              <w:t>Призначити</w:t>
            </w:r>
          </w:p>
          <w:p>
            <w:pPr>
              <w:pStyle w:val="TableParagraph"/>
              <w:spacing w:before="1" w:after="0"/>
              <w:rPr>
                <w:rFonts w:ascii="Times New Roman" w:hAnsi="Times New Roman" w:cs="Times New Roman"/>
                <w:sz w:val="18"/>
                <w:szCs w:val="18"/>
              </w:rPr>
            </w:pPr>
            <w:r>
              <w:rPr>
                <w:rFonts w:cs="Times New Roman" w:ascii="Times New Roman" w:hAnsi="Times New Roman"/>
                <w:sz w:val="18"/>
                <w:szCs w:val="18"/>
              </w:rPr>
              <w:t>відповідальну особу за розробку та впровадження СЕСУ.</w:t>
            </w:r>
          </w:p>
          <w:p>
            <w:pPr>
              <w:pStyle w:val="TableParagraph"/>
              <w:spacing w:before="120" w:after="0"/>
              <w:rPr>
                <w:rFonts w:ascii="Times New Roman" w:hAnsi="Times New Roman" w:cs="Times New Roman"/>
                <w:sz w:val="18"/>
                <w:szCs w:val="18"/>
              </w:rPr>
            </w:pPr>
            <w:r>
              <w:rPr>
                <w:rFonts w:cs="Times New Roman" w:ascii="Times New Roman" w:hAnsi="Times New Roman"/>
                <w:sz w:val="18"/>
                <w:szCs w:val="18"/>
              </w:rPr>
              <w:t>Розробити політику, плани та процедури у сфері охорони здоров'я та навколишнього середовища, що вимагаються відповідно до PR ЄБРР та найкращих практик у сфері систем менеджменту.</w:t>
            </w:r>
          </w:p>
          <w:p>
            <w:pPr>
              <w:pStyle w:val="TableParagraph"/>
              <w:spacing w:before="120" w:after="0"/>
              <w:rPr>
                <w:rFonts w:ascii="Times New Roman" w:hAnsi="Times New Roman" w:cs="Times New Roman"/>
                <w:sz w:val="18"/>
                <w:szCs w:val="18"/>
              </w:rPr>
            </w:pPr>
            <w:r>
              <w:rPr>
                <w:rFonts w:cs="Times New Roman" w:ascii="Times New Roman" w:hAnsi="Times New Roman"/>
                <w:sz w:val="18"/>
                <w:szCs w:val="18"/>
              </w:rPr>
              <w:t>Розробити реєстр оцінки екологічних ризиків.</w:t>
            </w:r>
          </w:p>
        </w:tc>
        <w:tc>
          <w:tcPr>
            <w:tcW w:w="2125" w:type="dxa"/>
            <w:gridSpan w:val="2"/>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Оптимізація екологічного</w:t>
            </w:r>
          </w:p>
          <w:p>
            <w:pPr>
              <w:pStyle w:val="TableParagraph"/>
              <w:rPr>
                <w:rFonts w:ascii="Times New Roman" w:hAnsi="Times New Roman" w:cs="Times New Roman"/>
                <w:sz w:val="18"/>
                <w:szCs w:val="18"/>
              </w:rPr>
            </w:pPr>
            <w:r>
              <w:rPr>
                <w:rFonts w:cs="Times New Roman" w:ascii="Times New Roman" w:hAnsi="Times New Roman"/>
                <w:sz w:val="18"/>
                <w:szCs w:val="18"/>
              </w:rPr>
              <w:t>менеджменту через</w:t>
            </w:r>
          </w:p>
          <w:p>
            <w:pPr>
              <w:pStyle w:val="TableParagraph"/>
              <w:spacing w:before="1" w:after="0"/>
              <w:rPr>
                <w:rFonts w:ascii="Times New Roman" w:hAnsi="Times New Roman" w:cs="Times New Roman"/>
                <w:sz w:val="18"/>
                <w:szCs w:val="18"/>
              </w:rPr>
            </w:pPr>
            <w:r>
              <w:rPr>
                <w:rFonts w:cs="Times New Roman" w:ascii="Times New Roman" w:hAnsi="Times New Roman"/>
                <w:spacing w:val="-1"/>
                <w:sz w:val="18"/>
                <w:szCs w:val="18"/>
              </w:rPr>
              <w:t xml:space="preserve">формалізовану </w:t>
            </w:r>
            <w:r>
              <w:rPr>
                <w:rFonts w:cs="Times New Roman" w:ascii="Times New Roman" w:hAnsi="Times New Roman"/>
                <w:sz w:val="18"/>
                <w:szCs w:val="18"/>
              </w:rPr>
              <w:t>систему.</w:t>
            </w:r>
          </w:p>
          <w:p>
            <w:pPr>
              <w:pStyle w:val="TableParagraph"/>
              <w:spacing w:before="121" w:after="0"/>
              <w:rPr>
                <w:rFonts w:ascii="Times New Roman" w:hAnsi="Times New Roman" w:cs="Times New Roman"/>
                <w:sz w:val="18"/>
                <w:szCs w:val="18"/>
              </w:rPr>
            </w:pPr>
            <w:r>
              <w:rPr>
                <w:rFonts w:cs="Times New Roman" w:ascii="Times New Roman" w:hAnsi="Times New Roman"/>
                <w:sz w:val="18"/>
                <w:szCs w:val="18"/>
              </w:rPr>
              <w:t xml:space="preserve">Контроль усіх екологічних </w:t>
            </w:r>
            <w:r>
              <w:rPr>
                <w:rFonts w:cs="Times New Roman" w:ascii="Times New Roman" w:hAnsi="Times New Roman"/>
                <w:spacing w:val="-8"/>
                <w:sz w:val="18"/>
                <w:szCs w:val="18"/>
              </w:rPr>
              <w:t xml:space="preserve">та </w:t>
            </w:r>
            <w:r>
              <w:rPr>
                <w:rFonts w:cs="Times New Roman" w:ascii="Times New Roman" w:hAnsi="Times New Roman"/>
                <w:sz w:val="18"/>
                <w:szCs w:val="18"/>
              </w:rPr>
              <w:t>соціальних аспектів</w:t>
            </w:r>
          </w:p>
          <w:p>
            <w:pPr>
              <w:pStyle w:val="TableParagraph"/>
              <w:rPr>
                <w:rFonts w:ascii="Times New Roman" w:hAnsi="Times New Roman" w:cs="Times New Roman"/>
                <w:sz w:val="18"/>
                <w:szCs w:val="18"/>
              </w:rPr>
            </w:pPr>
            <w:r>
              <w:rPr>
                <w:rFonts w:cs="Times New Roman" w:ascii="Times New Roman" w:hAnsi="Times New Roman"/>
                <w:sz w:val="18"/>
                <w:szCs w:val="18"/>
              </w:rPr>
              <w:t>діяльності КП</w:t>
            </w:r>
          </w:p>
          <w:p>
            <w:pPr>
              <w:pStyle w:val="TableParagraph"/>
              <w:rPr>
                <w:rFonts w:ascii="Times New Roman" w:hAnsi="Times New Roman" w:cs="Times New Roman"/>
                <w:sz w:val="18"/>
                <w:szCs w:val="18"/>
              </w:rPr>
            </w:pPr>
            <w:r>
              <w:rPr>
                <w:rFonts w:cs="Times New Roman" w:ascii="Times New Roman" w:hAnsi="Times New Roman"/>
                <w:sz w:val="18"/>
                <w:szCs w:val="18"/>
              </w:rPr>
              <w:t>«ТЕТ».</w:t>
            </w:r>
          </w:p>
          <w:p>
            <w:pPr>
              <w:pStyle w:val="TableParagraph"/>
              <w:spacing w:before="121" w:after="0"/>
              <w:rPr>
                <w:rFonts w:ascii="Times New Roman" w:hAnsi="Times New Roman" w:cs="Times New Roman"/>
                <w:sz w:val="18"/>
                <w:szCs w:val="18"/>
              </w:rPr>
            </w:pPr>
            <w:r>
              <w:rPr>
                <w:rFonts w:cs="Times New Roman" w:ascii="Times New Roman" w:hAnsi="Times New Roman"/>
                <w:sz w:val="18"/>
                <w:szCs w:val="18"/>
              </w:rPr>
              <w:t>Позитивна діяльність КП "ТЕТ" для громадськості та клієнтів.</w:t>
            </w:r>
          </w:p>
        </w:tc>
        <w:tc>
          <w:tcPr>
            <w:tcW w:w="1418" w:type="dxa"/>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7"/>
              </w:numPr>
              <w:tabs>
                <w:tab w:val="clear" w:pos="708"/>
                <w:tab w:val="left" w:pos="341" w:leader="none"/>
              </w:tabs>
              <w:suppressAutoHyphens w:val="false"/>
              <w:spacing w:before="0" w:after="20"/>
              <w:ind w:left="83" w:hanging="0"/>
              <w:rPr>
                <w:sz w:val="18"/>
                <w:szCs w:val="18"/>
                <w:lang w:val="uk-UA"/>
              </w:rPr>
            </w:pPr>
            <w:r>
              <w:rPr>
                <w:sz w:val="18"/>
                <w:szCs w:val="18"/>
                <w:lang w:val="uk-UA"/>
              </w:rPr>
              <w:t>Найкращі практики.</w:t>
            </w:r>
          </w:p>
        </w:tc>
        <w:tc>
          <w:tcPr>
            <w:tcW w:w="2271" w:type="dxa"/>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Консультанти з СЕСУ;</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Призначена відповідальна особа (менеджер з охорони</w:t>
            </w:r>
          </w:p>
          <w:p>
            <w:pPr>
              <w:pStyle w:val="Normal"/>
              <w:tabs>
                <w:tab w:val="clear" w:pos="708"/>
                <w:tab w:val="left" w:pos="341" w:leader="none"/>
              </w:tabs>
              <w:spacing w:before="0" w:after="20"/>
              <w:ind w:left="83" w:hanging="0"/>
              <w:rPr>
                <w:sz w:val="18"/>
                <w:szCs w:val="18"/>
                <w:lang w:val="uk-UA"/>
              </w:rPr>
            </w:pPr>
            <w:r>
              <w:rPr>
                <w:sz w:val="18"/>
                <w:szCs w:val="18"/>
                <w:lang w:val="uk-UA"/>
              </w:rPr>
              <w:t>праці та навколишнього середовища КП "ТЕТ")</w:t>
            </w:r>
          </w:p>
        </w:tc>
        <w:tc>
          <w:tcPr>
            <w:tcW w:w="1559" w:type="dxa"/>
            <w:gridSpan w:val="3"/>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Через 6 місяців після</w:t>
            </w:r>
            <w:r>
              <w:rPr>
                <w:rFonts w:cs="Times New Roman" w:ascii="Times New Roman" w:hAnsi="Times New Roman"/>
                <w:spacing w:val="15"/>
                <w:sz w:val="18"/>
                <w:szCs w:val="18"/>
              </w:rPr>
              <w:t xml:space="preserve"> </w:t>
            </w:r>
            <w:r>
              <w:rPr>
                <w:rFonts w:cs="Times New Roman" w:ascii="Times New Roman" w:hAnsi="Times New Roman"/>
                <w:spacing w:val="-3"/>
                <w:sz w:val="18"/>
                <w:szCs w:val="18"/>
              </w:rPr>
              <w:t>підписання</w:t>
            </w:r>
          </w:p>
          <w:p>
            <w:pPr>
              <w:pStyle w:val="Normal"/>
              <w:rPr>
                <w:sz w:val="18"/>
                <w:szCs w:val="18"/>
                <w:lang w:val="uk-UA"/>
              </w:rPr>
            </w:pPr>
            <w:r>
              <w:rPr>
                <w:sz w:val="18"/>
                <w:szCs w:val="18"/>
                <w:lang w:val="uk-UA"/>
              </w:rPr>
              <w:t>контракту з</w:t>
            </w:r>
            <w:r>
              <w:rPr>
                <w:spacing w:val="-7"/>
                <w:sz w:val="18"/>
                <w:szCs w:val="18"/>
                <w:lang w:val="uk-UA"/>
              </w:rPr>
              <w:t xml:space="preserve"> </w:t>
            </w:r>
            <w:r>
              <w:rPr>
                <w:sz w:val="18"/>
                <w:szCs w:val="18"/>
                <w:lang w:val="uk-UA"/>
              </w:rPr>
              <w:t>ЄБРР.</w:t>
            </w:r>
          </w:p>
        </w:tc>
        <w:tc>
          <w:tcPr>
            <w:tcW w:w="1986" w:type="dxa"/>
            <w:tcBorders>
              <w:top w:val="single" w:sz="12" w:space="0" w:color="262626"/>
              <w:left w:val="dashSmallGap" w:sz="8" w:space="0" w:color="7F7F7F"/>
              <w:bottom w:val="single" w:sz="6" w:space="0" w:color="7F7F7F"/>
              <w:right w:val="dashSmallGap" w:sz="8" w:space="0" w:color="7F7F7F"/>
            </w:tcBorders>
            <w:shd w:fill="auto" w:val="clear"/>
            <w:tcMar>
              <w:left w:w="43" w:type="dxa"/>
            </w:tcMar>
          </w:tcPr>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Розроблено та впроваджено СЕСУ.</w:t>
            </w:r>
          </w:p>
          <w:p>
            <w:pPr>
              <w:pStyle w:val="TableParagraph"/>
              <w:spacing w:before="121" w:after="0"/>
              <w:rPr>
                <w:rFonts w:ascii="Times New Roman" w:hAnsi="Times New Roman" w:cs="Times New Roman"/>
                <w:sz w:val="18"/>
                <w:szCs w:val="18"/>
              </w:rPr>
            </w:pPr>
            <w:r>
              <w:rPr>
                <w:rFonts w:cs="Times New Roman" w:ascii="Times New Roman" w:hAnsi="Times New Roman"/>
                <w:sz w:val="18"/>
                <w:szCs w:val="18"/>
              </w:rPr>
              <w:t xml:space="preserve">Призначено менеджера з охорони праці та промислової безпеки  КП </w:t>
            </w:r>
            <w:r>
              <w:rPr>
                <w:rFonts w:cs="Times New Roman" w:ascii="Times New Roman" w:hAnsi="Times New Roman"/>
                <w:spacing w:val="-1"/>
                <w:sz w:val="18"/>
                <w:szCs w:val="18"/>
              </w:rPr>
              <w:t>"ТЕТ</w:t>
            </w:r>
            <w:r>
              <w:rPr>
                <w:rFonts w:cs="Times New Roman" w:ascii="Times New Roman" w:hAnsi="Times New Roman"/>
                <w:sz w:val="18"/>
                <w:szCs w:val="18"/>
              </w:rPr>
              <w:t>".</w:t>
            </w:r>
          </w:p>
          <w:p>
            <w:pPr>
              <w:pStyle w:val="TableParagraph"/>
              <w:spacing w:before="122" w:after="0"/>
              <w:rPr>
                <w:rFonts w:ascii="Times New Roman" w:hAnsi="Times New Roman" w:cs="Times New Roman"/>
                <w:sz w:val="18"/>
                <w:szCs w:val="18"/>
              </w:rPr>
            </w:pPr>
            <w:r>
              <w:rPr>
                <w:rFonts w:cs="Times New Roman" w:ascii="Times New Roman" w:hAnsi="Times New Roman"/>
                <w:sz w:val="18"/>
                <w:szCs w:val="18"/>
              </w:rPr>
              <w:t>Розроблено та розповсюджено серед</w:t>
            </w:r>
          </w:p>
          <w:p>
            <w:pPr>
              <w:pStyle w:val="TableParagraph"/>
              <w:spacing w:before="1" w:after="0"/>
              <w:rPr>
                <w:rFonts w:ascii="Times New Roman" w:hAnsi="Times New Roman" w:cs="Times New Roman"/>
                <w:sz w:val="18"/>
                <w:szCs w:val="18"/>
              </w:rPr>
            </w:pPr>
            <w:r>
              <w:rPr>
                <w:rFonts w:cs="Times New Roman" w:ascii="Times New Roman" w:hAnsi="Times New Roman"/>
                <w:sz w:val="18"/>
                <w:szCs w:val="18"/>
              </w:rPr>
              <w:t>працівників політику,</w:t>
            </w:r>
          </w:p>
          <w:p>
            <w:pPr>
              <w:pStyle w:val="TableParagraph"/>
              <w:rPr>
                <w:rFonts w:ascii="Times New Roman" w:hAnsi="Times New Roman" w:cs="Times New Roman"/>
                <w:sz w:val="18"/>
                <w:szCs w:val="18"/>
              </w:rPr>
            </w:pPr>
            <w:r>
              <w:rPr>
                <w:rFonts w:cs="Times New Roman" w:ascii="Times New Roman" w:hAnsi="Times New Roman"/>
                <w:sz w:val="18"/>
                <w:szCs w:val="18"/>
              </w:rPr>
              <w:t>процедури та</w:t>
            </w:r>
          </w:p>
          <w:p>
            <w:pPr>
              <w:pStyle w:val="TableParagraph"/>
              <w:spacing w:before="1" w:after="0"/>
              <w:rPr>
                <w:rFonts w:ascii="Times New Roman" w:hAnsi="Times New Roman" w:cs="Times New Roman"/>
                <w:sz w:val="18"/>
                <w:szCs w:val="18"/>
              </w:rPr>
            </w:pPr>
            <w:r>
              <w:rPr>
                <w:rFonts w:cs="Times New Roman" w:ascii="Times New Roman" w:hAnsi="Times New Roman"/>
                <w:sz w:val="18"/>
                <w:szCs w:val="18"/>
              </w:rPr>
              <w:t>плани з охорони праці та промислової безпеки.</w:t>
            </w:r>
          </w:p>
          <w:p>
            <w:pPr>
              <w:pStyle w:val="Normal"/>
              <w:rPr>
                <w:sz w:val="18"/>
                <w:szCs w:val="18"/>
                <w:lang w:val="uk-UA"/>
              </w:rPr>
            </w:pPr>
            <w:r>
              <w:rPr>
                <w:sz w:val="18"/>
                <w:szCs w:val="18"/>
                <w:lang w:val="uk-UA"/>
              </w:rPr>
              <w:t>Розроблено реєстр оцінки екологічних ризиків.</w:t>
            </w:r>
          </w:p>
        </w:tc>
        <w:tc>
          <w:tcPr>
            <w:tcW w:w="1134" w:type="dxa"/>
            <w:gridSpan w:val="3"/>
            <w:tcBorders>
              <w:top w:val="single" w:sz="12" w:space="0" w:color="262626"/>
              <w:left w:val="dashSmallGap" w:sz="8" w:space="0" w:color="7F7F7F"/>
              <w:bottom w:val="single" w:sz="6" w:space="0" w:color="7F7F7F"/>
            </w:tcBorders>
            <w:shd w:fill="auto" w:val="clear"/>
            <w:tcMar>
              <w:left w:w="43" w:type="dxa"/>
            </w:tcMar>
          </w:tcPr>
          <w:p>
            <w:pPr>
              <w:pStyle w:val="TableParagraph"/>
              <w:spacing w:before="119" w:after="0"/>
              <w:rPr>
                <w:rFonts w:ascii="Times New Roman" w:hAnsi="Times New Roman" w:cs="Times New Roman"/>
                <w:sz w:val="18"/>
                <w:szCs w:val="18"/>
              </w:rPr>
            </w:pPr>
            <w:bookmarkStart w:id="1" w:name="_Hlk206170785"/>
            <w:r>
              <w:rPr>
                <w:rFonts w:cs="Times New Roman" w:ascii="Times New Roman" w:hAnsi="Times New Roman"/>
                <w:sz w:val="18"/>
                <w:szCs w:val="18"/>
              </w:rPr>
              <w:t>Сертифікація за стандартами ISO 14001 та OHSAS</w:t>
            </w:r>
          </w:p>
          <w:p>
            <w:pPr>
              <w:pStyle w:val="TableParagraph"/>
              <w:rPr>
                <w:rFonts w:ascii="Times New Roman" w:hAnsi="Times New Roman" w:cs="Times New Roman"/>
                <w:sz w:val="18"/>
                <w:szCs w:val="18"/>
              </w:rPr>
            </w:pPr>
            <w:r>
              <w:rPr>
                <w:rFonts w:cs="Times New Roman" w:ascii="Times New Roman" w:hAnsi="Times New Roman"/>
                <w:sz w:val="18"/>
                <w:szCs w:val="18"/>
              </w:rPr>
              <w:t>18001 не є</w:t>
            </w:r>
          </w:p>
          <w:p>
            <w:pPr>
              <w:pStyle w:val="TableParagraph"/>
              <w:spacing w:before="1" w:after="0"/>
              <w:rPr>
                <w:rFonts w:ascii="Times New Roman" w:hAnsi="Times New Roman" w:cs="Times New Roman"/>
                <w:sz w:val="18"/>
                <w:szCs w:val="18"/>
              </w:rPr>
            </w:pPr>
            <w:bookmarkStart w:id="2" w:name="_Hlk206170785"/>
            <w:r>
              <w:rPr>
                <w:rFonts w:cs="Times New Roman" w:ascii="Times New Roman" w:hAnsi="Times New Roman"/>
                <w:sz w:val="18"/>
                <w:szCs w:val="18"/>
              </w:rPr>
              <w:t>обов'язко-вою, але рекомен-дується</w:t>
            </w:r>
            <w:bookmarkEnd w:id="2"/>
            <w:r>
              <w:rPr>
                <w:rFonts w:cs="Times New Roman" w:ascii="Times New Roman" w:hAnsi="Times New Roman"/>
                <w:sz w:val="18"/>
                <w:szCs w:val="18"/>
              </w:rPr>
              <w:t>.</w:t>
            </w:r>
          </w:p>
        </w:tc>
        <w:tc>
          <w:tcPr>
            <w:tcW w:w="1250" w:type="dxa"/>
            <w:gridSpan w:val="6"/>
            <w:tcBorders>
              <w:top w:val="single" w:sz="12" w:space="0" w:color="262626"/>
              <w:left w:val="dashSmallGap" w:sz="8" w:space="0" w:color="7F7F7F"/>
              <w:bottom w:val="single" w:sz="6" w:space="0" w:color="7F7F7F"/>
            </w:tcBorders>
            <w:shd w:fill="auto" w:val="clear"/>
            <w:tcMar>
              <w:top w:w="14" w:type="dxa"/>
              <w:left w:w="43" w:type="dxa"/>
              <w:bottom w:w="14" w:type="dxa"/>
              <w:right w:w="43" w:type="dxa"/>
            </w:tcMar>
          </w:tcPr>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Не розроблено як окремий документ, але наявні елементи СЕСУ</w:t>
            </w:r>
          </w:p>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r>
          </w:p>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Особи призначено</w:t>
            </w:r>
          </w:p>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r>
          </w:p>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Процедури та плани розроблено й розповсюджено.</w:t>
            </w:r>
          </w:p>
          <w:p>
            <w:pPr>
              <w:pStyle w:val="TableParagraph"/>
              <w:spacing w:before="119" w:after="0"/>
              <w:rPr>
                <w:rFonts w:ascii="Times New Roman" w:hAnsi="Times New Roman" w:cs="Times New Roman"/>
                <w:sz w:val="18"/>
                <w:szCs w:val="18"/>
              </w:rPr>
            </w:pPr>
            <w:r>
              <w:rPr>
                <w:rFonts w:cs="Times New Roman" w:ascii="Times New Roman" w:hAnsi="Times New Roman"/>
                <w:sz w:val="18"/>
                <w:szCs w:val="18"/>
              </w:rPr>
              <w:t>Розроблено карти умов праці, що охоплюють фактори виробничого середовища і трудового процесу</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1.2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Щорічно звітувати перед ЄБРР про впровадження СЕСУ та ПЕСЗ.</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tabs>
                <w:tab w:val="clear" w:pos="708"/>
                <w:tab w:val="left" w:pos="341" w:leader="none"/>
              </w:tabs>
              <w:spacing w:before="0" w:after="20"/>
              <w:ind w:left="83" w:hanging="0"/>
              <w:rPr>
                <w:sz w:val="18"/>
                <w:szCs w:val="18"/>
                <w:lang w:val="uk-UA"/>
              </w:rPr>
            </w:pPr>
            <w:r>
              <w:rPr>
                <w:sz w:val="18"/>
                <w:szCs w:val="18"/>
                <w:lang w:val="uk-UA"/>
              </w:rPr>
              <w:t>ЄБРР PR1.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7"/>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 праці та промислової безпеки "ТЕТ".</w:t>
            </w:r>
          </w:p>
        </w:tc>
        <w:tc>
          <w:tcPr>
            <w:tcW w:w="1559" w:type="dxa"/>
            <w:gridSpan w:val="3"/>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До кінця кожного року</w:t>
            </w:r>
          </w:p>
        </w:tc>
        <w:tc>
          <w:tcPr>
            <w:tcW w:w="1986"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Щорічний звіт з охорони праці та промислової безпеки для ЄБРР</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1.3</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Формалізувати План екологічного та соціального менеджменту.</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Можливість контролювати всі викиди/скиди та питання поводження з відходами.</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Найкращі практики.</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 праці та промислової безпеки</w:t>
            </w:r>
          </w:p>
          <w:p>
            <w:pPr>
              <w:pStyle w:val="Normal"/>
              <w:numPr>
                <w:ilvl w:val="0"/>
                <w:numId w:val="7"/>
              </w:numPr>
              <w:tabs>
                <w:tab w:val="clear" w:pos="708"/>
                <w:tab w:val="left" w:pos="341" w:leader="none"/>
              </w:tabs>
              <w:suppressAutoHyphens w:val="false"/>
              <w:spacing w:before="0" w:after="20"/>
              <w:ind w:left="83" w:hanging="0"/>
              <w:rPr>
                <w:sz w:val="18"/>
                <w:szCs w:val="18"/>
                <w:lang w:val="uk-UA"/>
              </w:rPr>
            </w:pPr>
            <w:r>
              <w:rPr>
                <w:sz w:val="18"/>
                <w:szCs w:val="18"/>
                <w:lang w:val="uk-UA"/>
              </w:rPr>
              <w:t>"ТернопільЕлектротранс".</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6 місяців після підписання контракту з ЄБРР.</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ПЕСЗ, статус якого регулярно оновлюється.</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Розпочато виконання</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1.4</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3" w:name="_Hlk206172159"/>
            <w:r>
              <w:rPr>
                <w:sz w:val="18"/>
                <w:szCs w:val="18"/>
                <w:lang w:val="uk-UA"/>
              </w:rPr>
              <w:t xml:space="preserve">Навчання відповідального персоналу </w:t>
            </w:r>
            <w:bookmarkEnd w:id="3"/>
            <w:r>
              <w:rPr>
                <w:sz w:val="18"/>
                <w:szCs w:val="18"/>
                <w:lang w:val="uk-UA"/>
              </w:rPr>
              <w:t>за міжнародними стандартами ISO 14001.</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Кваліфікований персонал сприятиме впровадженню СЕСУ.</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Залучення професійної тренінгової компанії;</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 праці та навколишнього середовища КП "ТернопільЕлектротранс".</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СЕСУ</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Свідоцтва про проходження персоналом професійних тренінгів.</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Наявні, копії надано Клієнтом Консультанту</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1.5</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Навчання персоналу відповідно до екологічної та соціальної політики та екологічних аспектів у їхній повсякденній діяльності (внутрішнє навчання).</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Підвищити обізнаність працівників у розумінні екологічних та соціальних аспектів їхньої повсякденної діяльності.</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Найкращі практики.</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праці та промислової безпеки КП «ТернопільЕлектротранс»;</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Залучення професійної тренінгової компанії (за бажанням).</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СЕСУ</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план та програму внутрішнього навчання.</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Розроблено</w:t>
            </w:r>
            <w:bookmarkStart w:id="4" w:name="_Hlk206172120"/>
            <w:bookmarkEnd w:id="4"/>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1.6</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5" w:name="_Hlk206173489"/>
            <w:r>
              <w:rPr>
                <w:sz w:val="18"/>
                <w:szCs w:val="18"/>
                <w:lang w:val="uk-UA"/>
              </w:rPr>
              <w:t>Включити вимоги щодо охорони праці та здоров'я в процедуру відбору постачальників/підрядникі, а також критерії, пов'язані з недопущенням використання дитячої та/або примусової праці.</w:t>
            </w:r>
          </w:p>
          <w:p>
            <w:pPr>
              <w:pStyle w:val="Normal"/>
              <w:rPr>
                <w:sz w:val="18"/>
                <w:szCs w:val="18"/>
                <w:lang w:val="uk-UA"/>
              </w:rPr>
            </w:pPr>
            <w:r>
              <w:rPr>
                <w:sz w:val="18"/>
                <w:szCs w:val="18"/>
                <w:lang w:val="uk-UA"/>
              </w:rPr>
              <w:t>Включити вимоги щодо охорони праці та здоров'я в контракти з підрядниками/постачальниками.</w:t>
            </w:r>
          </w:p>
          <w:p>
            <w:pPr>
              <w:pStyle w:val="Normal"/>
              <w:rPr>
                <w:sz w:val="18"/>
                <w:szCs w:val="18"/>
                <w:lang w:val="uk-UA"/>
              </w:rPr>
            </w:pPr>
            <w:bookmarkStart w:id="6" w:name="_Hlk206173489"/>
            <w:r>
              <w:rPr>
                <w:sz w:val="18"/>
                <w:szCs w:val="18"/>
                <w:lang w:val="uk-UA"/>
              </w:rPr>
              <w:t>Формалізувати процедуру внутрішнього аудиту підрядників та постачальників (аудит третіх осіб).</w:t>
            </w:r>
            <w:bookmarkEnd w:id="6"/>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Менеджмент підрядників/постачальників з метою недопущення невідповідностей та поганих соціальних показників КП «ТернопільЕлектротранс».</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PR1, PR2, PR4;</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ILO стандарти;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Найкращі практики.</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 праці та промислової безпеки КП "ТЕТ";</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Юридичний відділ.</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3 місяці після підписання контракту з ЄБРР.</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Критерії EHS включені в процедуру відбору постачальників/підрядників та в контракти.</w:t>
            </w:r>
          </w:p>
          <w:p>
            <w:pPr>
              <w:pStyle w:val="Normal"/>
              <w:rPr>
                <w:sz w:val="18"/>
                <w:szCs w:val="18"/>
                <w:lang w:val="uk-UA"/>
              </w:rPr>
            </w:pPr>
            <w:r>
              <w:rPr>
                <w:sz w:val="18"/>
                <w:szCs w:val="18"/>
                <w:lang w:val="uk-UA"/>
              </w:rPr>
              <w:t>Звіти внутрішнього аудиту постачальників.</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013" w:type="dxa"/>
            <w:gridSpan w:val="12"/>
            <w:tcBorders>
              <w:top w:val="single" w:sz="18" w:space="0" w:color="262626"/>
              <w:bottom w:val="single" w:sz="12" w:space="0" w:color="262626"/>
            </w:tcBorders>
            <w:shd w:color="auto" w:fill="B60E59" w:val="clear"/>
            <w:tcMar>
              <w:left w:w="144" w:type="dxa"/>
            </w:tcMar>
            <w:vAlign w:val="center"/>
          </w:tcPr>
          <w:p>
            <w:pPr>
              <w:pStyle w:val="Normal"/>
              <w:tabs>
                <w:tab w:val="clear" w:pos="708"/>
                <w:tab w:val="left" w:pos="341" w:leader="none"/>
              </w:tabs>
              <w:ind w:left="83" w:hanging="0"/>
              <w:rPr>
                <w:sz w:val="18"/>
                <w:szCs w:val="18"/>
                <w:lang w:val="uk-UA"/>
              </w:rPr>
            </w:pPr>
            <w:bookmarkStart w:id="7" w:name="_Hlk206174159"/>
            <w:r>
              <w:rPr>
                <w:b/>
                <w:bCs/>
                <w:color w:val="FFFFFF" w:themeColor="background1"/>
                <w:sz w:val="18"/>
                <w:szCs w:val="18"/>
                <w:lang w:val="uk-UA"/>
              </w:rPr>
              <w:t>2. Праця та умови праці</w:t>
            </w:r>
            <w:bookmarkEnd w:id="7"/>
          </w:p>
        </w:tc>
        <w:tc>
          <w:tcPr>
            <w:tcW w:w="1555" w:type="dxa"/>
            <w:gridSpan w:val="7"/>
            <w:tcBorders>
              <w:top w:val="single" w:sz="18" w:space="0" w:color="262626"/>
              <w:bottom w:val="single" w:sz="12" w:space="0" w:color="262626"/>
            </w:tcBorders>
            <w:shd w:color="auto" w:fill="B60C59" w:val="clear"/>
            <w:tcMar>
              <w:top w:w="14" w:type="dxa"/>
              <w:left w:w="43" w:type="dxa"/>
              <w:bottom w:w="14" w:type="dxa"/>
              <w:right w:w="43" w:type="dxa"/>
            </w:tcMar>
          </w:tcPr>
          <w:p>
            <w:pPr>
              <w:pStyle w:val="Normal"/>
              <w:rPr>
                <w:b/>
                <w:b/>
                <w:bCs/>
                <w:sz w:val="18"/>
                <w:szCs w:val="18"/>
                <w:lang w:val="uk-UA"/>
              </w:rPr>
            </w:pPr>
            <w:r>
              <w:rPr>
                <w:b/>
                <w:bCs/>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2.1</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Включіть політику щодо працівників, які не є штатними працівниками.</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Відповідність національним / міжнародним вимогам.</w:t>
            </w:r>
          </w:p>
          <w:p>
            <w:pPr>
              <w:pStyle w:val="Normal"/>
              <w:rPr>
                <w:sz w:val="18"/>
                <w:szCs w:val="18"/>
                <w:lang w:val="uk-UA"/>
              </w:rPr>
            </w:pPr>
            <w:r>
              <w:rPr>
                <w:sz w:val="18"/>
                <w:szCs w:val="18"/>
                <w:lang w:val="uk-UA"/>
              </w:rPr>
              <w:t>Репутаційний ризик.</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PR2;</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Найкращі практики;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Національне</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законодавство;</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Міжнародне</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законодавство;</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ILO стандарти.</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охорони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праці та промислової безпеки «ТернопільЕлектротранс»;</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ПЕСЗ.</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формалізовані кадрові вимоги до субпідрядників, розповсюджено серед працівників та розміщено на сайті компанії.</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b/>
                <w:bCs/>
                <w:kern w:val="2"/>
                <w:sz w:val="18"/>
                <w:szCs w:val="18"/>
                <w:lang w:val="uk-UA"/>
              </w:rPr>
              <w:t>2.2</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До укладення контракту проаналізуйте ризики ланцюга поставок, пов'язані з примусовою працею та наймом поза безпосередніми контр-агентами (за межами контрактів першого рівня у ланцюжку поставок).</w:t>
            </w:r>
          </w:p>
          <w:p>
            <w:pPr>
              <w:pStyle w:val="Normal"/>
              <w:rPr>
                <w:sz w:val="18"/>
                <w:szCs w:val="18"/>
                <w:lang w:val="uk-UA"/>
              </w:rPr>
            </w:pPr>
            <w:r>
              <w:rPr>
                <w:sz w:val="18"/>
                <w:szCs w:val="18"/>
                <w:lang w:val="uk-UA"/>
              </w:rPr>
              <w:t>Внести до договорів з підрядниками/субпідряд-никами вимог щодо дотримання етичних стандартів та трудових практик, у тому числі щодо заборони будь-яких форм примусової праці, дитячої праці або торгівлі людьми.</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Відповідність національним/</w:t>
              <w:br/>
              <w:t>міжнародним вимогам.</w:t>
            </w:r>
          </w:p>
          <w:p>
            <w:pPr>
              <w:pStyle w:val="Normal"/>
              <w:rPr>
                <w:sz w:val="18"/>
                <w:szCs w:val="18"/>
                <w:lang w:val="uk-UA"/>
              </w:rPr>
            </w:pPr>
            <w:r>
              <w:rPr>
                <w:sz w:val="18"/>
                <w:szCs w:val="18"/>
                <w:lang w:val="uk-UA"/>
              </w:rPr>
              <w:t>Репутаційний ризик.</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0" w:hanging="0"/>
              <w:rPr>
                <w:sz w:val="18"/>
                <w:szCs w:val="18"/>
                <w:lang w:val="uk-UA"/>
              </w:rPr>
            </w:pPr>
            <w:r>
              <w:rPr>
                <w:sz w:val="18"/>
                <w:szCs w:val="18"/>
                <w:lang w:val="uk-UA"/>
              </w:rPr>
              <w:t>ЄБРР PR2;</w:t>
            </w:r>
          </w:p>
          <w:p>
            <w:pPr>
              <w:pStyle w:val="Normal"/>
              <w:numPr>
                <w:ilvl w:val="0"/>
                <w:numId w:val="8"/>
              </w:numPr>
              <w:tabs>
                <w:tab w:val="clear" w:pos="708"/>
                <w:tab w:val="left" w:pos="341" w:leader="none"/>
              </w:tabs>
              <w:suppressAutoHyphens w:val="false"/>
              <w:spacing w:before="0" w:after="20"/>
              <w:ind w:left="0" w:hanging="0"/>
              <w:rPr>
                <w:sz w:val="18"/>
                <w:szCs w:val="18"/>
                <w:lang w:val="uk-UA"/>
              </w:rPr>
            </w:pPr>
            <w:r>
              <w:rPr>
                <w:sz w:val="18"/>
                <w:szCs w:val="18"/>
                <w:lang w:val="uk-UA"/>
              </w:rPr>
              <w:t>Стандарти МОП.</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0"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0" w:hanging="0"/>
              <w:rPr>
                <w:sz w:val="18"/>
                <w:szCs w:val="18"/>
                <w:lang w:val="uk-UA"/>
              </w:rPr>
            </w:pPr>
            <w:r>
              <w:rPr>
                <w:sz w:val="18"/>
                <w:szCs w:val="18"/>
                <w:lang w:val="uk-UA"/>
              </w:rPr>
              <w:t xml:space="preserve">Відділ закупівель; </w:t>
            </w:r>
          </w:p>
          <w:p>
            <w:pPr>
              <w:pStyle w:val="Normal"/>
              <w:numPr>
                <w:ilvl w:val="0"/>
                <w:numId w:val="8"/>
              </w:numPr>
              <w:tabs>
                <w:tab w:val="clear" w:pos="708"/>
                <w:tab w:val="left" w:pos="341" w:leader="none"/>
              </w:tabs>
              <w:suppressAutoHyphens w:val="false"/>
              <w:spacing w:before="0" w:after="20"/>
              <w:ind w:left="0" w:hanging="0"/>
              <w:rPr>
                <w:sz w:val="18"/>
                <w:szCs w:val="18"/>
                <w:lang w:val="uk-UA"/>
              </w:rPr>
            </w:pPr>
            <w:r>
              <w:rPr>
                <w:sz w:val="18"/>
                <w:szCs w:val="18"/>
                <w:lang w:val="uk-UA"/>
              </w:rPr>
              <w:t>Відділ зв’язків з громадскістю.</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3 місяці після підписання договору з ЄБРР.</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 xml:space="preserve">Вимоги щодо заборони будь-яких форм примусової праці, дитячої праці, торгівлі людьми чи дискримінації закріплені у договорах з поставками товарів та послуг. </w:t>
            </w:r>
          </w:p>
          <w:p>
            <w:pPr>
              <w:pStyle w:val="Normal"/>
              <w:rPr>
                <w:sz w:val="18"/>
                <w:szCs w:val="18"/>
                <w:lang w:val="uk-UA"/>
              </w:rPr>
            </w:pPr>
            <w:r>
              <w:rPr>
                <w:sz w:val="18"/>
                <w:szCs w:val="18"/>
                <w:lang w:val="uk-UA"/>
              </w:rPr>
              <w:t xml:space="preserve">Завершено оцінку ланцюгів поставок первинних постачальників. </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b/>
                <w:b/>
                <w:bCs/>
                <w:sz w:val="18"/>
                <w:szCs w:val="18"/>
                <w:lang w:val="uk-UA"/>
              </w:rPr>
            </w:pPr>
            <w:r>
              <w:rPr>
                <w:sz w:val="18"/>
                <w:szCs w:val="18"/>
                <w:lang w:val="uk-UA"/>
              </w:rPr>
              <w:t>2.3</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8" w:name="_Hlk206174283"/>
            <w:r>
              <w:rPr>
                <w:sz w:val="18"/>
                <w:szCs w:val="18"/>
                <w:lang w:val="uk-UA"/>
              </w:rPr>
              <w:t>Впровадити ефективний механізм розгляду скарг для штатних працівників та працівників субпідрядників.</w:t>
            </w:r>
          </w:p>
          <w:p>
            <w:pPr>
              <w:pStyle w:val="Normal"/>
              <w:rPr>
                <w:sz w:val="18"/>
                <w:szCs w:val="18"/>
                <w:lang w:val="uk-UA"/>
              </w:rPr>
            </w:pPr>
            <w:bookmarkStart w:id="9" w:name="_Hlk206174283"/>
            <w:r>
              <w:rPr>
                <w:sz w:val="18"/>
                <w:szCs w:val="18"/>
                <w:lang w:val="uk-UA"/>
              </w:rPr>
              <w:t>Інформувати працівників про механізм подання скарг під час прийому на роботу.</w:t>
            </w:r>
            <w:bookmarkEnd w:id="9"/>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Переконайтеся, що діяльність підрядника відповідає вимогам політик кредитора.</w:t>
            </w:r>
          </w:p>
          <w:p>
            <w:pPr>
              <w:pStyle w:val="Normal"/>
              <w:rPr>
                <w:sz w:val="18"/>
                <w:szCs w:val="18"/>
                <w:lang w:val="uk-UA"/>
              </w:rPr>
            </w:pPr>
            <w:r>
              <w:rPr>
                <w:sz w:val="18"/>
                <w:szCs w:val="18"/>
                <w:lang w:val="uk-UA"/>
              </w:rPr>
              <w:t>Репутаційний ризик.</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ЄБРР PR2, PR4</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ILO конвенції</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ГІП</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Менеджер з персоналу</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«ТернопільЕлектротранс»;</w:t>
            </w:r>
          </w:p>
          <w:p>
            <w:pPr>
              <w:pStyle w:val="Normal"/>
              <w:numPr>
                <w:ilvl w:val="0"/>
                <w:numId w:val="8"/>
              </w:numPr>
              <w:tabs>
                <w:tab w:val="clear" w:pos="708"/>
                <w:tab w:val="left" w:pos="341" w:leader="none"/>
              </w:tabs>
              <w:suppressAutoHyphens w:val="false"/>
              <w:spacing w:before="0" w:after="20"/>
              <w:ind w:left="83" w:hanging="0"/>
              <w:rPr>
                <w:sz w:val="18"/>
                <w:szCs w:val="18"/>
                <w:lang w:val="uk-UA"/>
              </w:rPr>
            </w:pPr>
            <w:r>
              <w:rPr>
                <w:sz w:val="18"/>
                <w:szCs w:val="18"/>
                <w:lang w:val="uk-UA"/>
              </w:rPr>
              <w:t>ГРП.</w:t>
            </w:r>
          </w:p>
        </w:tc>
        <w:tc>
          <w:tcPr>
            <w:tcW w:w="1559" w:type="dxa"/>
            <w:gridSpan w:val="3"/>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Перед реконструкцією.</w:t>
            </w:r>
          </w:p>
        </w:tc>
        <w:tc>
          <w:tcPr>
            <w:tcW w:w="1986"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Створено ефективний механізм розгляду скарг.</w:t>
            </w:r>
          </w:p>
          <w:p>
            <w:pPr>
              <w:pStyle w:val="Normal"/>
              <w:rPr>
                <w:sz w:val="18"/>
                <w:szCs w:val="18"/>
                <w:lang w:val="uk-UA"/>
              </w:rPr>
            </w:pPr>
            <w:r>
              <w:rPr>
                <w:sz w:val="18"/>
                <w:szCs w:val="18"/>
                <w:lang w:val="uk-UA"/>
              </w:rPr>
              <w:t>Працівники поінформовані про процес та процедури подання скарг перед</w:t>
            </w:r>
          </w:p>
          <w:p>
            <w:pPr>
              <w:pStyle w:val="Normal"/>
              <w:rPr>
                <w:sz w:val="18"/>
                <w:szCs w:val="18"/>
                <w:lang w:val="uk-UA"/>
              </w:rPr>
            </w:pPr>
            <w:r>
              <w:rPr>
                <w:sz w:val="18"/>
                <w:szCs w:val="18"/>
                <w:lang w:val="uk-UA"/>
              </w:rPr>
              <w:t>прийняттям на роботу.</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Розроблено та діє для місцевої громади і штатних працівників</w:t>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sz w:val="18"/>
                <w:szCs w:val="18"/>
                <w:lang w:val="uk-UA"/>
              </w:rPr>
            </w:pPr>
            <w:bookmarkStart w:id="10" w:name="_Hlk206174444"/>
            <w:r>
              <w:rPr>
                <w:b/>
                <w:bCs/>
                <w:color w:val="FFFFFF" w:themeColor="background1"/>
                <w:sz w:val="18"/>
                <w:szCs w:val="18"/>
                <w:lang w:val="uk-UA"/>
              </w:rPr>
              <w:t>3. Ресурсоефективність та запобігання і контроль забруднення</w:t>
            </w:r>
            <w:bookmarkEnd w:id="10"/>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3.1</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11" w:name="_Hlk206175163"/>
            <w:r>
              <w:rPr>
                <w:sz w:val="18"/>
                <w:szCs w:val="18"/>
                <w:lang w:val="uk-UA"/>
              </w:rPr>
              <w:t>Розробити план поводження з відходами експлуатації та організувати спосіб зберігання цих відходів на території КП «Тернопіль-електротранс» та в цехах.</w:t>
            </w:r>
            <w:bookmarkEnd w:id="11"/>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Ризик штрафних санкцій з боку органів, що контролю-ють неправильне збір і зберігання відходів (особливо небезпечних). Ризик забруднення ґрунтів і ґрунтових вод. </w:t>
            </w:r>
          </w:p>
          <w:p>
            <w:pPr>
              <w:pStyle w:val="Normal"/>
              <w:rPr>
                <w:sz w:val="18"/>
                <w:szCs w:val="18"/>
                <w:lang w:val="uk-UA"/>
              </w:rPr>
            </w:pPr>
            <w:r>
              <w:rPr>
                <w:sz w:val="18"/>
                <w:szCs w:val="18"/>
                <w:lang w:val="uk-UA"/>
              </w:rPr>
              <w:t>Ризик для здоров’я персоналу.</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bookmarkStart w:id="12" w:name="_Hlk206174971"/>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Міжнародне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bookmarkStart w:id="13" w:name="_Hlk206174971"/>
            <w:r>
              <w:rPr>
                <w:sz w:val="18"/>
                <w:szCs w:val="18"/>
                <w:lang w:val="uk-UA"/>
              </w:rPr>
              <w:t>ЄБРР PR3</w:t>
            </w:r>
            <w:bookmarkEnd w:id="13"/>
            <w:r>
              <w:rPr>
                <w:sz w:val="18"/>
                <w:szCs w:val="18"/>
                <w:lang w:val="uk-UA"/>
              </w:rPr>
              <w:t>.</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3 місяці після підписання договору з ЄБРР.</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Розроблено відповідний план. </w:t>
            </w:r>
            <w:bookmarkStart w:id="14" w:name="_Hlk206176303"/>
            <w:r>
              <w:rPr>
                <w:sz w:val="18"/>
                <w:szCs w:val="18"/>
                <w:lang w:val="uk-UA"/>
              </w:rPr>
              <w:t>Зроблено інвентаризацію всіх видів відходів.</w:t>
            </w:r>
          </w:p>
          <w:p>
            <w:pPr>
              <w:pStyle w:val="Normal"/>
              <w:rPr>
                <w:sz w:val="18"/>
                <w:szCs w:val="18"/>
                <w:lang w:val="uk-UA"/>
              </w:rPr>
            </w:pPr>
            <w:r>
              <w:rPr>
                <w:sz w:val="18"/>
                <w:szCs w:val="18"/>
                <w:lang w:val="uk-UA"/>
              </w:rPr>
              <w:t>Місця зберігання організовані відповідно до національного законодавства та найкращої практики.</w:t>
            </w:r>
            <w:bookmarkEnd w:id="14"/>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Розроблено план поводження з відходами експлуатації. Зроблено інвентаризацію відходів експлуатації</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3.2 </w:t>
            </w:r>
          </w:p>
        </w:tc>
        <w:tc>
          <w:tcPr>
            <w:tcW w:w="2464" w:type="dxa"/>
            <w:tcBorders>
              <w:top w:val="single" w:sz="6" w:space="0" w:color="7F7F7F"/>
              <w:left w:val="dashSmallGap" w:sz="8" w:space="0" w:color="7F7F7F"/>
              <w:right w:val="dashSmallGap" w:sz="8" w:space="0" w:color="7F7F7F"/>
            </w:tcBorders>
            <w:shd w:fill="auto" w:val="clear"/>
            <w:tcMar>
              <w:left w:w="43" w:type="dxa"/>
            </w:tcMar>
            <w:vAlign w:val="center"/>
          </w:tcPr>
          <w:p>
            <w:pPr>
              <w:pStyle w:val="Normal"/>
              <w:rPr>
                <w:sz w:val="18"/>
                <w:szCs w:val="18"/>
                <w:lang w:val="uk-UA"/>
              </w:rPr>
            </w:pPr>
            <w:r>
              <w:rPr>
                <w:sz w:val="18"/>
                <w:szCs w:val="18"/>
                <w:lang w:val="uk-UA"/>
              </w:rPr>
              <w:t xml:space="preserve">Підписати договір з сертифікованою компанією на утилізацію азбестовмісних матеріалів з території «Тернопіль-електротранс». </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Ризик для здоров’я працівників. </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 PR4.</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Через 1 місяць після підписання договору з ЄБРР. </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Договір з сертифікованою компанією з утилізації азбестовмісних матеріалів. Всі наявні азбестовмісні матеріали утилізовані.</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t xml:space="preserve">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Відходи утилізовано</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3.3</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Підписувати договори з сертифікованими компаніями на вивезення будівельного сміття та шламів від автомийок з території «Тернопіль-електротранс». </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Ризик штрафних санкцій з боку органів, що контролюють неправильне збір і зберігання відходів (особливо небезпечних). Ризик забруднення ґрунтів і ґрунтових вод.</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Через 1 місяць після підписання договору з ЄБРР. </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Договори з сертифікованими компаніями на утилізацію будівельного сміття та шламів від автомийок.</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b/>
                <w:b/>
                <w:bCs/>
                <w:kern w:val="2"/>
                <w:sz w:val="18"/>
                <w:szCs w:val="18"/>
                <w:lang w:val="uk-UA"/>
              </w:rPr>
            </w:pPr>
            <w:r>
              <w:rPr>
                <w:sz w:val="18"/>
                <w:szCs w:val="18"/>
                <w:lang w:val="uk-UA"/>
              </w:rPr>
              <w:t>Укладено договір із сертифікованою компанією</w:t>
            </w:r>
            <w:bookmarkStart w:id="15" w:name="_Hlk206176754"/>
            <w:bookmarkEnd w:id="15"/>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3.4</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Розробити новий </w:t>
            </w:r>
            <w:bookmarkStart w:id="16" w:name="_Hlk206177920"/>
            <w:r>
              <w:rPr>
                <w:sz w:val="18"/>
                <w:szCs w:val="18"/>
                <w:lang w:val="uk-UA"/>
              </w:rPr>
              <w:t xml:space="preserve">дозвіл на викиди в атмосферне повітря, що охоплює всі джерела викидів на КП «Тернопільелектротранс». </w:t>
            </w:r>
            <w:bookmarkEnd w:id="16"/>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Ризик штрафів з боку влади. </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6 місяців після підписання договору з ЄБРР.</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Новий дозвіл на викиди в атмосферне повітря. </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t xml:space="preserve">Наявний дозвіл </w:t>
            </w:r>
            <w:r>
              <w:rPr>
                <w:sz w:val="18"/>
                <w:szCs w:val="18"/>
                <w:lang w:val="uk-UA"/>
              </w:rPr>
              <w:t>на викиди в атмосферне повітря стаціонарними джерелами</w:t>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tabs>
                <w:tab w:val="clear" w:pos="708"/>
                <w:tab w:val="left" w:pos="366" w:leader="none"/>
              </w:tabs>
              <w:ind w:left="83" w:hanging="0"/>
              <w:rPr>
                <w:color w:val="FFFFFF" w:themeColor="background1"/>
                <w:sz w:val="18"/>
                <w:szCs w:val="18"/>
                <w:lang w:val="uk-UA"/>
              </w:rPr>
            </w:pPr>
            <w:bookmarkStart w:id="17" w:name="_Hlk206178731"/>
            <w:r>
              <w:rPr>
                <w:b/>
                <w:bCs/>
                <w:color w:val="FFFFFF" w:themeColor="background1"/>
                <w:sz w:val="18"/>
                <w:szCs w:val="18"/>
                <w:lang w:val="uk-UA"/>
              </w:rPr>
              <w:t>4. Охорона здоров'я та безпека</w:t>
            </w:r>
            <w:bookmarkEnd w:id="17"/>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4.1</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18" w:name="_Hlk206179341"/>
            <w:r>
              <w:rPr>
                <w:sz w:val="18"/>
                <w:szCs w:val="18"/>
                <w:lang w:val="uk-UA"/>
              </w:rPr>
              <w:t>Удосконалити існуючу систему управління охороною праці на основі міжнародного стандарту ISO 45001</w:t>
            </w:r>
            <w:bookmarkEnd w:id="18"/>
            <w:r>
              <w:rPr>
                <w:sz w:val="18"/>
                <w:szCs w:val="18"/>
                <w:lang w:val="uk-UA"/>
              </w:rPr>
              <w:t>.</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Удосконалити контроль та управління ризиками у виробничому процесі,</w:t>
            </w:r>
          </w:p>
          <w:p>
            <w:pPr>
              <w:pStyle w:val="Normal"/>
              <w:rPr>
                <w:sz w:val="18"/>
                <w:szCs w:val="18"/>
                <w:lang w:val="uk-UA"/>
              </w:rPr>
            </w:pPr>
            <w:r>
              <w:rPr>
                <w:sz w:val="18"/>
                <w:szCs w:val="18"/>
                <w:lang w:val="uk-UA"/>
              </w:rPr>
              <w:t>підхід до запобігання інцидентам.</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ISO 45001;</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Зовнішні консультанти за необхідності;</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Перед початком етапу будівництва нових об'єктів.</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вдосконалену систему управління охороною праці.</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4.2</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Розробити </w:t>
            </w:r>
            <w:bookmarkStart w:id="19" w:name="_Hlk206181399"/>
            <w:r>
              <w:rPr>
                <w:sz w:val="18"/>
                <w:szCs w:val="18"/>
                <w:lang w:val="uk-UA"/>
              </w:rPr>
              <w:t xml:space="preserve">План відновлення дорожніх покриттів та дорожньої розмітки </w:t>
              <w:br/>
              <w:t>на підприємстві</w:t>
            </w:r>
            <w:bookmarkEnd w:id="19"/>
            <w:r>
              <w:rPr>
                <w:sz w:val="18"/>
                <w:szCs w:val="18"/>
                <w:lang w:val="uk-UA"/>
              </w:rPr>
              <w:t>.</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Поліпшення стану охорони праці на підприємстві.</w:t>
            </w:r>
          </w:p>
          <w:p>
            <w:pPr>
              <w:pStyle w:val="Normal"/>
              <w:rPr>
                <w:sz w:val="18"/>
                <w:szCs w:val="18"/>
                <w:lang w:val="uk-UA"/>
              </w:rPr>
            </w:pPr>
            <w:r>
              <w:rPr>
                <w:sz w:val="18"/>
                <w:szCs w:val="18"/>
                <w:lang w:val="uk-UA"/>
              </w:rPr>
              <w:t>Впровадити підхід до запобігання інцидентам.</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ССЕУ.</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та затверджено План відновлення дорожніх покриттів та дорожньої розмітки.</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4.3</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Провести оцінку ризиків для здоров'я та безпеки праці, що виникають у процесі роботи.</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Удосконалити конт-роль та управління ризиками у виробничо-му процесі.</w:t>
            </w:r>
          </w:p>
          <w:p>
            <w:pPr>
              <w:pStyle w:val="Normal"/>
              <w:rPr>
                <w:sz w:val="18"/>
                <w:szCs w:val="18"/>
                <w:lang w:val="uk-UA"/>
              </w:rPr>
            </w:pPr>
            <w:r>
              <w:rPr>
                <w:sz w:val="18"/>
                <w:szCs w:val="18"/>
                <w:lang w:val="uk-UA"/>
              </w:rPr>
              <w:t>Впровадити підхід з запобігання інциден-там.</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ISO 45001;</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Міжнародне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ССЕУ.</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bookmarkStart w:id="20" w:name="_Hlk206181427"/>
            <w:r>
              <w:rPr>
                <w:sz w:val="18"/>
                <w:szCs w:val="18"/>
                <w:lang w:val="uk-UA"/>
              </w:rPr>
              <w:t>Оцінено ризики, пов'язані з охороною праці та промисловою безпекою</w:t>
            </w:r>
            <w:bookmarkEnd w:id="20"/>
            <w:r>
              <w:rPr>
                <w:sz w:val="18"/>
                <w:szCs w:val="18"/>
                <w:lang w:val="uk-UA"/>
              </w:rPr>
              <w:t>.</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t>Виконано (карта)</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4.4</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Забезпечення персоналу спеціальним одягом і захисним взуттям.</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 xml:space="preserve">Забезпечення персональним захистом працівників. </w:t>
            </w:r>
          </w:p>
          <w:p>
            <w:pPr>
              <w:pStyle w:val="Normal"/>
              <w:rPr>
                <w:sz w:val="18"/>
                <w:szCs w:val="18"/>
                <w:lang w:val="uk-UA"/>
              </w:rPr>
            </w:pPr>
            <w:r>
              <w:rPr>
                <w:sz w:val="18"/>
                <w:szCs w:val="18"/>
                <w:lang w:val="uk-UA"/>
              </w:rPr>
              <w:t>Підхід з запобігання інцидентам.</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Міжнародне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Менеджер з персоналу;</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ССЕУ.</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bookmarkStart w:id="21" w:name="_Hlk206181636"/>
            <w:r>
              <w:rPr>
                <w:rFonts w:eastAsia="Calibri"/>
                <w:sz w:val="18"/>
                <w:szCs w:val="18"/>
                <w:lang w:val="uk-UA"/>
              </w:rPr>
              <w:t>Розроблено та затверджено План заходів з охорони праці на 2024 рік.</w:t>
            </w:r>
          </w:p>
          <w:p>
            <w:pPr>
              <w:pStyle w:val="Normal"/>
              <w:rPr>
                <w:sz w:val="18"/>
                <w:szCs w:val="18"/>
                <w:lang w:val="uk-UA"/>
              </w:rPr>
            </w:pPr>
            <w:bookmarkStart w:id="22" w:name="_Hlk206181636"/>
            <w:r>
              <w:rPr>
                <w:sz w:val="18"/>
                <w:szCs w:val="18"/>
                <w:lang w:val="uk-UA"/>
              </w:rPr>
              <w:t>Особовий склад забезпечується спеціальним одягом та захисним взуттям</w:t>
            </w:r>
            <w:bookmarkEnd w:id="22"/>
            <w:r>
              <w:rPr>
                <w:sz w:val="18"/>
                <w:szCs w:val="18"/>
                <w:lang w:val="uk-UA"/>
              </w:rPr>
              <w:t>.</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t>Виконано</w:t>
            </w:r>
          </w:p>
          <w:p>
            <w:pPr>
              <w:pStyle w:val="Normal"/>
              <w:rPr>
                <w:kern w:val="2"/>
                <w:sz w:val="18"/>
                <w:szCs w:val="18"/>
                <w:lang w:val="uk-UA"/>
              </w:rPr>
            </w:pPr>
            <w:r>
              <w:rPr>
                <w:kern w:val="2"/>
                <w:sz w:val="18"/>
                <w:szCs w:val="18"/>
                <w:lang w:val="uk-UA"/>
              </w:rPr>
              <w:t>СОУП, колективний договір</w:t>
            </w:r>
          </w:p>
          <w:p>
            <w:pPr>
              <w:pStyle w:val="Normal"/>
              <w:rPr>
                <w:kern w:val="2"/>
                <w:sz w:val="18"/>
                <w:szCs w:val="18"/>
                <w:lang w:val="uk-UA"/>
              </w:rPr>
            </w:pPr>
            <w:r>
              <w:rPr>
                <w:kern w:val="2"/>
                <w:sz w:val="18"/>
                <w:szCs w:val="18"/>
                <w:lang w:val="uk-UA"/>
              </w:rPr>
            </w:r>
          </w:p>
          <w:p>
            <w:pPr>
              <w:pStyle w:val="Normal"/>
              <w:rPr>
                <w:kern w:val="2"/>
                <w:sz w:val="18"/>
                <w:szCs w:val="18"/>
                <w:lang w:val="uk-UA"/>
              </w:rPr>
            </w:pPr>
            <w:r>
              <w:rPr>
                <w:kern w:val="2"/>
                <w:sz w:val="18"/>
                <w:szCs w:val="18"/>
                <w:lang w:val="uk-UA"/>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4.5</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xml:space="preserve">Розробити </w:t>
            </w:r>
            <w:bookmarkStart w:id="23" w:name="_Hlk206181882"/>
            <w:r>
              <w:rPr>
                <w:sz w:val="18"/>
                <w:szCs w:val="18"/>
                <w:lang w:val="uk-UA"/>
              </w:rPr>
              <w:t>План реалізації монтажу систем пожежної сигналізації та систем пожежогасіння.</w:t>
            </w:r>
            <w:bookmarkEnd w:id="23"/>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Затвердити План виконання робіт з монтажу систем пожежної сигналізації та систем пожежогасіння.</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Міжнародне законодавство</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p>
            <w:pPr>
              <w:pStyle w:val="Normal"/>
              <w:numPr>
                <w:ilvl w:val="0"/>
                <w:numId w:val="8"/>
              </w:numPr>
              <w:tabs>
                <w:tab w:val="clear" w:pos="708"/>
                <w:tab w:val="left" w:pos="366" w:leader="none"/>
                <w:tab w:val="left" w:pos="720" w:leader="none"/>
              </w:tabs>
              <w:suppressAutoHyphens w:val="false"/>
              <w:spacing w:before="0" w:after="20"/>
              <w:ind w:left="83" w:hanging="0"/>
              <w:rPr>
                <w:sz w:val="18"/>
                <w:szCs w:val="18"/>
                <w:lang w:val="uk-UA"/>
              </w:rPr>
            </w:pPr>
            <w:r>
              <w:rPr>
                <w:sz w:val="18"/>
                <w:szCs w:val="18"/>
                <w:lang w:val="uk-UA"/>
              </w:rPr>
              <w:t xml:space="preserve">Внутрішні ресурси;  </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У процесі впровадження ССЕУ.</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та затверджено План заходів з охорони праці на 2024 рік. Розроблено та затверджено План впровадження монтажу систем пожежної сигналізації та систем пожежогасіння на Підприємстві.</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t xml:space="preserve">Розробляється </w:t>
            </w:r>
            <w:r>
              <w:rPr>
                <w:sz w:val="18"/>
                <w:szCs w:val="18"/>
                <w:lang w:val="uk-UA"/>
              </w:rPr>
              <w:t>у процесі впровадження ССЕУ</w:t>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bookmarkStart w:id="24" w:name="_Hlk206181991"/>
            <w:r>
              <w:rPr>
                <w:b/>
                <w:bCs/>
                <w:color w:val="FFFFFF" w:themeColor="background1"/>
                <w:sz w:val="18"/>
                <w:szCs w:val="18"/>
                <w:lang w:val="uk-UA"/>
              </w:rPr>
              <w:t>10. Розкриття інформації та взаємодія із зацікавленими сторонами</w:t>
            </w:r>
            <w:bookmarkEnd w:id="24"/>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10.1</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Розробити та впровадити план взаємодії із зацікавленими сторонами (SEP).</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Визначення стейк-холдерів для належної роботи з кожним з них.</w:t>
            </w:r>
          </w:p>
          <w:p>
            <w:pPr>
              <w:pStyle w:val="Normal"/>
              <w:rPr>
                <w:sz w:val="18"/>
                <w:szCs w:val="18"/>
                <w:lang w:val="uk-UA"/>
              </w:rPr>
            </w:pPr>
            <w:r>
              <w:rPr>
                <w:sz w:val="18"/>
                <w:szCs w:val="18"/>
                <w:lang w:val="uk-UA"/>
              </w:rPr>
              <w:t>Ризик надходження скарг від непоінформованих стейкхолдерів.</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ЄБРР PR10;</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Міжнародне законодавство.</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Керівництво «Тернопільелектро-транс»;</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Професійний консультант.</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Починаючи з моменту отримання SEP.</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Статус виконання SEP періодично перевіряється, а інформація включається до Щорічного звіту з охорони здоров'я та охорони здоров'я для ЄБРР.</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rFonts w:eastAsia="Arial"/>
                <w:sz w:val="18"/>
                <w:szCs w:val="18"/>
                <w:lang w:val="uk-UA"/>
              </w:rPr>
              <w:t>Не надано документу</w:t>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10.2</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Розробити та впровадити процедуру управління скаргами.</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Ризик потенційного недотримання вимог з боку ЄБРР.</w:t>
            </w:r>
          </w:p>
          <w:p>
            <w:pPr>
              <w:pStyle w:val="Normal"/>
              <w:rPr>
                <w:sz w:val="18"/>
                <w:szCs w:val="18"/>
                <w:lang w:val="uk-UA"/>
              </w:rPr>
            </w:pPr>
            <w:r>
              <w:rPr>
                <w:sz w:val="18"/>
                <w:szCs w:val="18"/>
                <w:lang w:val="uk-UA"/>
              </w:rPr>
              <w:t>Нерозв’язані скарги можуть негативно вплинути на імідж «Тернопільелектро-трансу».</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ЄБРР PR10;</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Керівництво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Через 3 місяці після укладення договору з ЄБРР і надалі.</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Розроблено розділ на веб-сайті з інформацією про EHS.</w:t>
            </w:r>
          </w:p>
          <w:p>
            <w:pPr>
              <w:pStyle w:val="NormalWeb"/>
              <w:spacing w:beforeAutospacing="0" w:before="0" w:afterAutospacing="0" w:after="0"/>
              <w:rPr>
                <w:rFonts w:eastAsia="Calibri"/>
                <w:sz w:val="18"/>
                <w:szCs w:val="18"/>
                <w:lang w:val="uk-UA"/>
              </w:rPr>
            </w:pPr>
            <w:r>
              <w:rPr>
                <w:rFonts w:eastAsia="Calibri"/>
                <w:sz w:val="18"/>
                <w:szCs w:val="18"/>
                <w:lang w:val="uk-UA"/>
              </w:rPr>
              <w:t>Контакт відповідального персоналу опублікований на сайті.</w:t>
            </w:r>
          </w:p>
          <w:p>
            <w:pPr>
              <w:pStyle w:val="Normal"/>
              <w:rPr>
                <w:sz w:val="18"/>
                <w:szCs w:val="18"/>
                <w:lang w:val="uk-UA"/>
              </w:rPr>
            </w:pPr>
            <w:r>
              <w:rPr>
                <w:sz w:val="18"/>
                <w:szCs w:val="18"/>
                <w:lang w:val="uk-UA"/>
              </w:rPr>
              <w:t>Розроблено внутрішню процедуру розгляду скарг.</w:t>
            </w:r>
          </w:p>
        </w:tc>
        <w:tc>
          <w:tcPr>
            <w:tcW w:w="1134" w:type="dxa"/>
            <w:gridSpan w:val="3"/>
            <w:tcBorders>
              <w:top w:val="single" w:sz="6" w:space="0" w:color="7F7F7F"/>
              <w:lef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Web"/>
              <w:spacing w:beforeAutospacing="0" w:before="0" w:afterAutospacing="0" w:after="0"/>
              <w:rPr>
                <w:sz w:val="18"/>
                <w:szCs w:val="18"/>
                <w:lang w:val="uk-UA"/>
              </w:rPr>
            </w:pPr>
            <w:r>
              <w:rPr>
                <w:kern w:val="2"/>
                <w:sz w:val="18"/>
                <w:szCs w:val="18"/>
                <w:lang w:val="uk-UA"/>
              </w:rPr>
              <w:t> </w:t>
            </w:r>
          </w:p>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Web"/>
              <w:spacing w:beforeAutospacing="0" w:before="0" w:afterAutospacing="0" w:after="0"/>
              <w:rPr/>
            </w:pPr>
            <w:r>
              <w:rPr/>
            </w:r>
            <w:bookmarkStart w:id="25" w:name="_Hlk206182046"/>
            <w:bookmarkStart w:id="26" w:name="_Hlk206182046"/>
            <w:bookmarkEnd w:id="26"/>
          </w:p>
        </w:tc>
      </w:tr>
      <w:tr>
        <w:trPr>
          <w:trHeight w:val="20" w:hRule="atLeast"/>
        </w:trPr>
        <w:tc>
          <w:tcPr>
            <w:tcW w:w="13013" w:type="dxa"/>
            <w:gridSpan w:val="12"/>
            <w:tcBorders>
              <w:top w:val="single" w:sz="18" w:space="0" w:color="262626"/>
              <w:bottom w:val="single" w:sz="12" w:space="0" w:color="262626"/>
            </w:tcBorders>
            <w:shd w:fill="auto" w:val="clear"/>
            <w:tcMar>
              <w:left w:w="144" w:type="dxa"/>
            </w:tcMar>
            <w:vAlign w:val="center"/>
          </w:tcPr>
          <w:p>
            <w:pPr>
              <w:pStyle w:val="Normal"/>
              <w:tabs>
                <w:tab w:val="clear" w:pos="708"/>
                <w:tab w:val="left" w:pos="374" w:leader="none"/>
              </w:tabs>
              <w:ind w:left="83" w:hanging="0"/>
              <w:rPr>
                <w:b/>
                <w:b/>
                <w:bCs/>
                <w:sz w:val="18"/>
                <w:szCs w:val="18"/>
                <w:lang w:val="uk-UA"/>
              </w:rPr>
            </w:pPr>
            <w:r>
              <w:rPr>
                <w:b/>
                <w:bCs/>
                <w:sz w:val="18"/>
                <w:szCs w:val="18"/>
                <w:lang w:val="uk-UA"/>
              </w:rPr>
              <w:t>Проект (етап розробки)</w:t>
            </w:r>
          </w:p>
        </w:tc>
        <w:tc>
          <w:tcPr>
            <w:tcW w:w="1386" w:type="dxa"/>
            <w:gridSpan w:val="4"/>
            <w:tcBorders>
              <w:top w:val="single" w:sz="18" w:space="0" w:color="262626"/>
              <w:bottom w:val="single" w:sz="12" w:space="0" w:color="262626"/>
            </w:tcBorders>
            <w:shd w:fill="auto"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79" w:type="dxa"/>
            <w:gridSpan w:val="2"/>
            <w:tcBorders/>
            <w:shd w:fill="auto" w:val="clear"/>
            <w:tcMar>
              <w:top w:w="14" w:type="dxa"/>
              <w:left w:w="43" w:type="dxa"/>
              <w:bottom w:w="14" w:type="dxa"/>
              <w:right w:w="43" w:type="dxa"/>
            </w:tcMar>
          </w:tcPr>
          <w:p>
            <w:pPr>
              <w:pStyle w:val="Normal"/>
              <w:rPr/>
            </w:pPr>
            <w:r>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tabs>
                <w:tab w:val="clear" w:pos="708"/>
                <w:tab w:val="left" w:pos="374" w:leader="none"/>
              </w:tabs>
              <w:ind w:left="83" w:hanging="0"/>
              <w:rPr>
                <w:color w:val="FFFFFF" w:themeColor="background1"/>
                <w:sz w:val="18"/>
                <w:szCs w:val="18"/>
                <w:lang w:val="uk-UA"/>
              </w:rPr>
            </w:pPr>
            <w:r>
              <w:rPr>
                <w:b/>
                <w:bCs/>
                <w:color w:val="FFFFFF" w:themeColor="background1"/>
                <w:sz w:val="18"/>
                <w:szCs w:val="18"/>
                <w:lang w:val="uk-UA"/>
              </w:rPr>
              <w:t>1. Оцінка та управління екологічними та соціальними впливами і проблемами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1.1</w:t>
            </w:r>
          </w:p>
        </w:tc>
        <w:tc>
          <w:tcPr>
            <w:tcW w:w="2464" w:type="dxa"/>
            <w:tcBorders>
              <w:top w:val="single" w:sz="6" w:space="0" w:color="7F7F7F"/>
              <w:left w:val="dashSmallGap" w:sz="8"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Інтегрувати принципи ССЕУ та НДТ у процес розробки майбутніх проектних рішень.</w:t>
            </w:r>
          </w:p>
          <w:p>
            <w:pPr>
              <w:pStyle w:val="Normal"/>
              <w:rPr>
                <w:sz w:val="18"/>
                <w:szCs w:val="18"/>
                <w:lang w:val="uk-UA"/>
              </w:rPr>
            </w:pPr>
            <w:r>
              <w:rPr>
                <w:sz w:val="18"/>
                <w:szCs w:val="18"/>
                <w:lang w:val="uk-UA"/>
              </w:rPr>
              <w:t>Розробити план EHS на етапі проектування.</w:t>
            </w:r>
          </w:p>
        </w:tc>
        <w:tc>
          <w:tcPr>
            <w:tcW w:w="2125"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Оптимізація використання ресурсів на наступних етапах проекту.</w:t>
            </w:r>
          </w:p>
        </w:tc>
        <w:tc>
          <w:tcPr>
            <w:tcW w:w="1418"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На етапі проектування.</w:t>
            </w:r>
          </w:p>
        </w:tc>
        <w:tc>
          <w:tcPr>
            <w:tcW w:w="2041" w:type="dxa"/>
            <w:gridSpan w:val="2"/>
            <w:tcBorders>
              <w:top w:val="single" w:sz="6" w:space="0" w:color="7F7F7F"/>
              <w:left w:val="dashSmallGap" w:sz="8"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Розроблено план EHS на етапі проектування.</w:t>
            </w:r>
          </w:p>
        </w:tc>
        <w:tc>
          <w:tcPr>
            <w:tcW w:w="1134" w:type="dxa"/>
            <w:gridSpan w:val="3"/>
            <w:tcBorders>
              <w:top w:val="single" w:sz="6" w:space="0" w:color="7F7F7F"/>
              <w:left w:val="dashSmallGap" w:sz="8"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У процесі тендеру на вибір проектної компанії до кожного з претендентів застосовуються вимоги EHS, в т.ч. щодо дитя-чої/примусової праці.</w:t>
            </w:r>
          </w:p>
          <w:p>
            <w:pPr>
              <w:pStyle w:val="Normal"/>
              <w:rPr>
                <w:sz w:val="18"/>
                <w:szCs w:val="18"/>
                <w:lang w:val="uk-UA"/>
              </w:rPr>
            </w:pPr>
            <w:r>
              <w:rPr>
                <w:sz w:val="18"/>
                <w:szCs w:val="18"/>
                <w:lang w:val="uk-UA"/>
              </w:rPr>
              <w:t>Включити ці вимоги в договір.</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Відповідність національним/</w:t>
              <w:br/>
              <w:t>міжнародним вимогам.</w:t>
            </w:r>
          </w:p>
          <w:p>
            <w:pPr>
              <w:pStyle w:val="Normal"/>
              <w:rPr>
                <w:sz w:val="18"/>
                <w:szCs w:val="18"/>
                <w:lang w:val="uk-UA"/>
              </w:rPr>
            </w:pPr>
            <w:r>
              <w:rPr>
                <w:sz w:val="18"/>
                <w:szCs w:val="18"/>
                <w:lang w:val="uk-UA"/>
              </w:rPr>
              <w:t>Репутаційний ризик.</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ЄБРР PR1, PR2;</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Стандарти МОП.</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Ресурси не задіяні;</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p>
            <w:pPr>
              <w:pStyle w:val="Normal"/>
              <w:numPr>
                <w:ilvl w:val="0"/>
                <w:numId w:val="8"/>
              </w:numPr>
              <w:tabs>
                <w:tab w:val="clear" w:pos="708"/>
                <w:tab w:val="left" w:pos="374" w:leader="none"/>
              </w:tabs>
              <w:suppressAutoHyphens w:val="false"/>
              <w:spacing w:before="0" w:after="20"/>
              <w:ind w:left="83" w:hanging="0"/>
              <w:rPr>
                <w:sz w:val="18"/>
                <w:szCs w:val="18"/>
                <w:lang w:val="uk-UA"/>
              </w:rPr>
            </w:pPr>
            <w:r>
              <w:rPr>
                <w:sz w:val="18"/>
                <w:szCs w:val="18"/>
                <w:lang w:val="uk-UA"/>
              </w:rPr>
              <w:t>Юридичний відділ.</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Ще до етапу проектування, в процесі проведення тендеру та укладання контракту.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Вимоги EHS використовуються в процесі тендеру.</w:t>
            </w:r>
          </w:p>
          <w:p>
            <w:pPr>
              <w:pStyle w:val="Normal"/>
              <w:rPr>
                <w:sz w:val="18"/>
                <w:szCs w:val="18"/>
                <w:lang w:val="uk-UA"/>
              </w:rPr>
            </w:pPr>
            <w:r>
              <w:rPr>
                <w:sz w:val="18"/>
                <w:szCs w:val="18"/>
                <w:lang w:val="uk-UA"/>
              </w:rPr>
              <w:t>Вимоги EHS включені в договори.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4. Охорона здоров'я та безпека праці</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4.1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Розробити план проектування OHSE* на основі результатів ідентифікації небезпек.</w:t>
            </w:r>
          </w:p>
          <w:p>
            <w:pPr>
              <w:pStyle w:val="NormalWeb"/>
              <w:spacing w:beforeAutospacing="0" w:before="0" w:afterAutospacing="0" w:after="0"/>
              <w:rPr>
                <w:rFonts w:eastAsia="Calibri"/>
                <w:sz w:val="18"/>
                <w:szCs w:val="18"/>
                <w:lang w:val="uk-UA"/>
              </w:rPr>
            </w:pPr>
            <w:r>
              <w:rPr>
                <w:rFonts w:eastAsia="Calibri"/>
                <w:sz w:val="18"/>
                <w:szCs w:val="18"/>
                <w:lang w:val="uk-UA"/>
              </w:rPr>
              <w:t>Структурувати план таким чином, щоб визначити небезпеки для здоров'я, праці та навколишнього середовища або наслідки для кожного з наступних етапів проекту.</w:t>
            </w:r>
          </w:p>
          <w:p>
            <w:pPr>
              <w:pStyle w:val="Normal"/>
              <w:rPr>
                <w:sz w:val="18"/>
                <w:szCs w:val="18"/>
                <w:lang w:val="uk-UA"/>
              </w:rPr>
            </w:pPr>
            <w:r>
              <w:rPr>
                <w:sz w:val="18"/>
                <w:szCs w:val="18"/>
                <w:lang w:val="uk-UA"/>
              </w:rPr>
              <w:t>Дослідження повинно охоплювати звичайні операції та заплановані аномальні операції, а також незаплановані, аномальні та аварійні операції для кожного етапу проекту.</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Запобігання ризикам EHS та надзвичайним ситуаціям протягом повного циклу проекту.</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 PR1;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45001;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Нотатка про кращі практики з підготовки планів EHS проєкту;</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Проєктна компанія;</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До і під час етапу проектування.</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Розроблено проектний план OHSE.</w:t>
            </w:r>
          </w:p>
          <w:p>
            <w:pPr>
              <w:pStyle w:val="NormalWeb"/>
              <w:spacing w:beforeAutospacing="0" w:before="0" w:afterAutospacing="0" w:after="0"/>
              <w:rPr>
                <w:rFonts w:eastAsia="Calibri"/>
                <w:sz w:val="18"/>
                <w:szCs w:val="18"/>
                <w:lang w:val="uk-UA"/>
              </w:rPr>
            </w:pPr>
            <w:r>
              <w:rPr>
                <w:rFonts w:eastAsia="Calibri"/>
                <w:sz w:val="18"/>
                <w:szCs w:val="18"/>
                <w:lang w:val="uk-UA"/>
              </w:rPr>
              <w:t>Оцінюються ризики EHS та можливі надзвичайні ситуації.</w:t>
            </w:r>
          </w:p>
          <w:p>
            <w:pPr>
              <w:pStyle w:val="Normal"/>
              <w:rPr>
                <w:sz w:val="18"/>
                <w:szCs w:val="18"/>
                <w:lang w:val="uk-UA"/>
              </w:rPr>
            </w:pPr>
            <w:r>
              <w:rPr>
                <w:sz w:val="18"/>
                <w:szCs w:val="18"/>
                <w:lang w:val="uk-UA"/>
              </w:rPr>
              <w:t>Заходи щодо запобігання та управління ризиками, надзвичайними ситуаціями розроблені для всіх етапів проекту.</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t xml:space="preserve">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b/>
                <w:b/>
                <w:bCs/>
                <w:sz w:val="18"/>
                <w:szCs w:val="18"/>
                <w:lang w:val="uk-UA"/>
              </w:rPr>
            </w:pPr>
            <w:r>
              <w:rPr>
                <w:kern w:val="2"/>
                <w:sz w:val="18"/>
                <w:szCs w:val="18"/>
                <w:lang w:val="uk-UA"/>
              </w:rPr>
              <w:t>4.2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Всі зони технічного обслуговування на об'єкті повинні бути спроектовані і розроблені відповідно до взірцевих практик для безпечних умов праці в різних погодних умовах.</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Запобігати страховим виплатам на випадок надзвичайних ситуацій та компенсацій, мінімізувати ризики для співробітників, які будуть обслуговувати обладнання на етапі експлуатації.</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 PR2;</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45001.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Проєктна компанія;</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На етапі проектування.</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Заходи щодо безпечного обслуговування обладнання включені в проект.</w:t>
            </w:r>
          </w:p>
          <w:p>
            <w:pPr>
              <w:pStyle w:val="Normal"/>
              <w:rPr>
                <w:sz w:val="18"/>
                <w:szCs w:val="18"/>
                <w:lang w:val="uk-UA"/>
              </w:rPr>
            </w:pPr>
            <w:r>
              <w:rPr>
                <w:kern w:val="2"/>
                <w:sz w:val="18"/>
                <w:szCs w:val="18"/>
                <w:lang w:val="uk-UA"/>
              </w:rPr>
              <w:t>План проектування охорони праці включає в себе процедури безпечного обслуговування обладнання.</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t xml:space="preserve">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10. Розкриття інформації та взаємодія із зацікавленими сторонами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10.1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Планування та впровадження публічного розкриття інформації та участь відповідно до вимог E&amp;S кредитора.</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Процес участі громадськості відповідно до вимог. Недопущення негативної громадської позиції щодо проекту та Тернопільелектротранс в цілому.</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ЄБРР PR10;</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 xml:space="preserve">Директива 2003/4/ЄС. </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Внутрішні ресурси за допомогою проектної компанії.</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Група із впровадження проекту у співпраці з Тернопільською міською радою.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На етапі проектування</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 xml:space="preserve">Повідомлення про заплановану діяльність публікується у засобах масової інформації та власних соціальних мережах. </w:t>
            </w:r>
          </w:p>
          <w:p>
            <w:pPr>
              <w:pStyle w:val="Normal"/>
              <w:rPr>
                <w:sz w:val="18"/>
                <w:szCs w:val="18"/>
                <w:lang w:val="uk-UA"/>
              </w:rPr>
            </w:pPr>
            <w:r>
              <w:rPr>
                <w:sz w:val="18"/>
                <w:szCs w:val="18"/>
                <w:lang w:val="uk-UA"/>
              </w:rPr>
              <w:t>Коментарі від громадськості приймаються та враховують-ся. SEP підготовлено.</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t xml:space="preserve">На сайті підприємстване знайдено інформації щодо реалізаії проєкту </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10.2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Запровадити дієвий механізм розгляду скарг.</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ЄБРР PR10</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Менеджер зі зв'язків з громадськістю, проектний менеджер</w:t>
            </w:r>
          </w:p>
          <w:p>
            <w:pPr>
              <w:pStyle w:val="Normal"/>
              <w:numPr>
                <w:ilvl w:val="0"/>
                <w:numId w:val="8"/>
              </w:numPr>
              <w:tabs>
                <w:tab w:val="clear" w:pos="708"/>
                <w:tab w:val="left" w:pos="383" w:leader="none"/>
              </w:tabs>
              <w:suppressAutoHyphens w:val="false"/>
              <w:spacing w:before="0" w:after="20"/>
              <w:ind w:left="83" w:hanging="0"/>
              <w:rPr>
                <w:sz w:val="18"/>
                <w:szCs w:val="18"/>
                <w:lang w:val="uk-UA"/>
              </w:rPr>
            </w:pPr>
            <w:r>
              <w:rPr>
                <w:sz w:val="18"/>
                <w:szCs w:val="18"/>
                <w:lang w:val="uk-UA"/>
              </w:rPr>
              <w:t>Представник підрядника</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На етапі проектування</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Наявна форма скарги.</w:t>
            </w:r>
          </w:p>
          <w:p>
            <w:pPr>
              <w:pStyle w:val="Normal"/>
              <w:rPr>
                <w:sz w:val="18"/>
                <w:szCs w:val="18"/>
                <w:lang w:val="uk-UA"/>
              </w:rPr>
            </w:pPr>
            <w:r>
              <w:rPr>
                <w:sz w:val="18"/>
                <w:szCs w:val="18"/>
                <w:lang w:val="uk-UA"/>
              </w:rPr>
              <w:t>Розробляється реєстр скарг.</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r>
          </w:p>
        </w:tc>
      </w:tr>
      <w:tr>
        <w:trPr>
          <w:trHeight w:val="20" w:hRule="atLeast"/>
        </w:trPr>
        <w:tc>
          <w:tcPr>
            <w:tcW w:w="13013" w:type="dxa"/>
            <w:gridSpan w:val="12"/>
            <w:tcBorders>
              <w:top w:val="single" w:sz="18" w:space="0" w:color="262626"/>
              <w:bottom w:val="single" w:sz="12" w:space="0" w:color="262626"/>
            </w:tcBorders>
            <w:shd w:fill="auto" w:val="clear"/>
            <w:tcMar>
              <w:left w:w="144" w:type="dxa"/>
            </w:tcMar>
            <w:vAlign w:val="center"/>
          </w:tcPr>
          <w:p>
            <w:pPr>
              <w:pStyle w:val="Normal"/>
              <w:rPr>
                <w:b/>
                <w:b/>
                <w:bCs/>
                <w:sz w:val="18"/>
                <w:szCs w:val="18"/>
                <w:lang w:val="uk-UA"/>
              </w:rPr>
            </w:pPr>
            <w:r>
              <w:rPr>
                <w:b/>
                <w:bCs/>
                <w:sz w:val="18"/>
                <w:szCs w:val="18"/>
                <w:lang w:val="uk-UA"/>
              </w:rPr>
              <w:t>Проект (етап будівництва)</w:t>
            </w:r>
          </w:p>
        </w:tc>
        <w:tc>
          <w:tcPr>
            <w:tcW w:w="1386" w:type="dxa"/>
            <w:gridSpan w:val="4"/>
            <w:tcBorders>
              <w:top w:val="single" w:sz="18" w:space="0" w:color="262626"/>
              <w:bottom w:val="single" w:sz="12" w:space="0" w:color="262626"/>
            </w:tcBorders>
            <w:shd w:fill="auto"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79" w:type="dxa"/>
            <w:gridSpan w:val="2"/>
            <w:tcBorders/>
            <w:shd w:fill="auto" w:val="clear"/>
            <w:tcMar>
              <w:top w:w="14" w:type="dxa"/>
              <w:left w:w="43" w:type="dxa"/>
              <w:bottom w:w="14" w:type="dxa"/>
              <w:right w:w="43" w:type="dxa"/>
            </w:tcMar>
          </w:tcPr>
          <w:p>
            <w:pPr>
              <w:pStyle w:val="Normal"/>
              <w:rPr/>
            </w:pPr>
            <w:r>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 Оцінка та управління екологічними та соціальними впливами і проблемами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Організувати тендер для вибору майбутнього ген-підрядника відповідно до вимог міжнародних та українських стандартів EHS, в тому числі щодо використання дитячої/ примусової праці.</w:t>
            </w:r>
          </w:p>
          <w:p>
            <w:pPr>
              <w:pStyle w:val="Normal"/>
              <w:rPr>
                <w:sz w:val="18"/>
                <w:szCs w:val="18"/>
                <w:lang w:val="uk-UA"/>
              </w:rPr>
            </w:pPr>
            <w:r>
              <w:rPr>
                <w:sz w:val="18"/>
                <w:szCs w:val="18"/>
                <w:lang w:val="uk-UA"/>
              </w:rPr>
              <w:t>Включити вимоги в договір.</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Відповідність національним та міжнародним вимогам.</w:t>
            </w:r>
          </w:p>
          <w:p>
            <w:pPr>
              <w:pStyle w:val="Normal"/>
              <w:rPr>
                <w:sz w:val="18"/>
                <w:szCs w:val="18"/>
                <w:lang w:val="uk-UA"/>
              </w:rPr>
            </w:pPr>
            <w:r>
              <w:rPr>
                <w:sz w:val="18"/>
                <w:szCs w:val="18"/>
                <w:lang w:val="uk-UA"/>
              </w:rPr>
              <w:t>Репутаційний ризик.</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 PR2;</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стандарти МОП;</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Ресурси не задіяні;</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менеджер/OHS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Юридичний відділ.</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Перед етапом будівництва, в процесі тендеру та укладання контракту.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Вимоги EHS використовуються в процесі тендеру.</w:t>
            </w:r>
          </w:p>
          <w:p>
            <w:pPr>
              <w:pStyle w:val="Normal"/>
              <w:rPr>
                <w:sz w:val="18"/>
                <w:szCs w:val="18"/>
                <w:lang w:val="uk-UA"/>
              </w:rPr>
            </w:pPr>
            <w:r>
              <w:rPr>
                <w:sz w:val="18"/>
                <w:szCs w:val="18"/>
                <w:lang w:val="uk-UA"/>
              </w:rPr>
              <w:t>Вимоги EHS включені в договори.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Встановити внутрішні процедури для нагляду за виконанням вимог EHS гене-ральним підрядником під час виконання будівельних робіт, включаючи:</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Розподіл чітких обов'язків щодо нагляду підрядника за питаннями EHS у проектах.</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Залучення відповідальну особу по EHS або керівника будівництва з боку Клієнта до зустрічей на об'єкті.</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Обмеження доступу на будівельний майданчик за допомогою огорож та спеціальних табличок, правил безпеки.</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Регулярні інспекції/внутрішні аудити будівельних майданчиків та таборів підрядників щодо вимог EHS.</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Перевірка навчальних та професійних кваліфікацій для керівників та персоналу підрядників, охорони навколишнього середовища та охорони праці.</w:t>
            </w:r>
          </w:p>
          <w:p>
            <w:pPr>
              <w:pStyle w:val="ListParagraph"/>
              <w:numPr>
                <w:ilvl w:val="0"/>
                <w:numId w:val="9"/>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Надання внутрішнім аудиторам наказів про зупинку робіт, якщо будуть виявлені серйозні невідповідності вимогам EHS.</w:t>
            </w:r>
          </w:p>
          <w:p>
            <w:pPr>
              <w:pStyle w:val="Normal"/>
              <w:numPr>
                <w:ilvl w:val="0"/>
                <w:numId w:val="7"/>
              </w:numPr>
              <w:suppressAutoHyphens w:val="false"/>
              <w:spacing w:before="0" w:after="20"/>
              <w:ind w:left="0" w:hanging="0"/>
              <w:rPr>
                <w:sz w:val="18"/>
                <w:szCs w:val="18"/>
                <w:lang w:val="uk-UA"/>
              </w:rPr>
            </w:pPr>
            <w:r>
              <w:rPr>
                <w:sz w:val="18"/>
                <w:szCs w:val="18"/>
                <w:lang w:val="uk-UA"/>
              </w:rPr>
              <w:t>Розробка та впровадження штрафних процедур для запобігання інцидентам або діям щодо недотримання вимог.</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Мінімізувати ризик нещасного випадку або інциденту у сфері EHS.</w:t>
            </w:r>
          </w:p>
          <w:p>
            <w:pPr>
              <w:pStyle w:val="Normal"/>
              <w:rPr>
                <w:sz w:val="18"/>
                <w:szCs w:val="18"/>
                <w:lang w:val="uk-UA"/>
              </w:rPr>
            </w:pPr>
            <w:r>
              <w:rPr>
                <w:sz w:val="18"/>
                <w:szCs w:val="18"/>
                <w:lang w:val="uk-UA"/>
              </w:rPr>
              <w:t>Позитивний імідж, що є результатом превентивного підходу в управлінні EHS.</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Призначити відповідальну особу (керівника будівництва);</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Залучити незалежного керівника будівництва;</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Перед етапом тендеру на вибір генерального підрядника і впродовж усього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tabs>
                <w:tab w:val="clear" w:pos="708"/>
                <w:tab w:val="left" w:pos="113" w:leader="none"/>
              </w:tabs>
              <w:spacing w:beforeAutospacing="0" w:before="0" w:afterAutospacing="0" w:after="0"/>
              <w:rPr>
                <w:rFonts w:eastAsia="Calibri"/>
                <w:sz w:val="18"/>
                <w:szCs w:val="18"/>
                <w:lang w:val="uk-UA"/>
              </w:rPr>
            </w:pPr>
            <w:r>
              <w:rPr>
                <w:rFonts w:eastAsia="Calibri"/>
                <w:sz w:val="18"/>
                <w:szCs w:val="18"/>
                <w:lang w:val="uk-UA"/>
              </w:rPr>
              <w:t>Щомісячний звіт з охорони праці керівництву КП «Тернопільелектротранс» (наприклад, EHS менеджеру), що включає:</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Опис процедур;</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Заходи боротьби;</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Навчання (спеціальне необхідне і додаткове, внутрішнє і т.д.);</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Резюме підрядників (як на рівні підрядника, так і на рівні усього проекту) у вигляді резюме з питань охорони навколишнього середовища та охорони праці та соціальної діяльності;</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Відповідність нормативним вимогам;</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Інциденти/аварії, коригувальні/запобіжні дії;</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Результати перевірок органами;</w:t>
            </w:r>
          </w:p>
          <w:p>
            <w:pPr>
              <w:pStyle w:val="ListParagraph"/>
              <w:numPr>
                <w:ilvl w:val="0"/>
                <w:numId w:val="10"/>
              </w:numPr>
              <w:suppressAutoHyphens w:val="false"/>
              <w:spacing w:lineRule="auto" w:line="240" w:before="0" w:after="0"/>
              <w:ind w:left="0"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Результати внутрішніх інспекцій/аудитів з EHS;</w:t>
            </w:r>
          </w:p>
          <w:p>
            <w:pPr>
              <w:pStyle w:val="Normal"/>
              <w:numPr>
                <w:ilvl w:val="0"/>
                <w:numId w:val="7"/>
              </w:numPr>
              <w:suppressAutoHyphens w:val="false"/>
              <w:spacing w:before="0" w:after="20"/>
              <w:ind w:left="0" w:hanging="0"/>
              <w:rPr>
                <w:sz w:val="18"/>
                <w:szCs w:val="18"/>
                <w:lang w:val="uk-UA"/>
              </w:rPr>
            </w:pPr>
            <w:r>
              <w:rPr>
                <w:sz w:val="18"/>
                <w:szCs w:val="18"/>
                <w:lang w:val="uk-UA"/>
              </w:rPr>
              <w:t>Огляд ризик-менеджменту.</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1.3</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Підготовка та впровадження Плану екологічного та соціального управління для пом'якшення загальних наслідків будівництва та уникнення перешкод для місцевих громад, включаю-чи контроль викидів/скидів, управління відходами, землекористування, заходи щодо пом’якшення наслідків та інші елементи системи управління EHS.</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rFonts w:eastAsia="Calibri"/>
                <w:sz w:val="18"/>
                <w:szCs w:val="18"/>
                <w:lang w:val="uk-UA"/>
              </w:rPr>
            </w:pPr>
            <w:r>
              <w:rPr>
                <w:rFonts w:eastAsia="Calibri"/>
                <w:sz w:val="18"/>
                <w:szCs w:val="18"/>
                <w:lang w:val="uk-UA"/>
              </w:rPr>
              <w:t>Запобігання впливу на навколишнє середовище на етапі будівництва.</w:t>
            </w:r>
          </w:p>
          <w:p>
            <w:pPr>
              <w:pStyle w:val="Normal"/>
              <w:rPr>
                <w:sz w:val="18"/>
                <w:szCs w:val="18"/>
                <w:lang w:val="uk-UA"/>
              </w:rPr>
            </w:pPr>
            <w:r>
              <w:rPr>
                <w:sz w:val="18"/>
                <w:szCs w:val="18"/>
                <w:lang w:val="uk-UA"/>
              </w:rPr>
              <w:t>Невідповідність вимогам національного законодавства про охорону праці.</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Залучення зовнішнього консультанта;</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Передбудівельний етап, протягом усього етапу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sz w:val="18"/>
                <w:szCs w:val="18"/>
                <w:lang w:val="uk-UA"/>
              </w:rPr>
              <w:t>План природоохоронного та соціального управління будівництва підготовлено та запроваджено.</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b/>
                <w:b/>
                <w:bCs/>
                <w:sz w:val="18"/>
                <w:szCs w:val="18"/>
                <w:lang w:val="uk-UA"/>
              </w:rPr>
            </w:pPr>
            <w:r>
              <w:rPr>
                <w:kern w:val="2"/>
                <w:sz w:val="18"/>
                <w:szCs w:val="18"/>
                <w:lang w:val="uk-UA"/>
              </w:rPr>
              <w:t>1.4</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Отримання всіх необхідних дозвільних документів для нових проектів та виконати вимоги до дозволів, зокре-ма дозволу на будівництво.</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Ризики недотримання національного законодавства та штрафні санкції.</w:t>
            </w:r>
          </w:p>
          <w:p>
            <w:pPr>
              <w:pStyle w:val="Normal"/>
              <w:rPr>
                <w:sz w:val="18"/>
                <w:szCs w:val="18"/>
                <w:lang w:val="uk-UA"/>
              </w:rPr>
            </w:pPr>
            <w:r>
              <w:rPr>
                <w:kern w:val="2"/>
                <w:sz w:val="18"/>
                <w:szCs w:val="18"/>
                <w:lang w:val="uk-UA"/>
              </w:rPr>
              <w:t>Ризик зупинки  будівельних робіт.</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 xml:space="preserve">Перед будівельними роботами.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Отримані необхідні дозвільні документи (наприклад, дозвіл на будівництво).</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b/>
                <w:b/>
                <w:bCs/>
                <w:sz w:val="18"/>
                <w:szCs w:val="18"/>
                <w:lang w:val="uk-UA"/>
              </w:rPr>
            </w:pPr>
            <w:r>
              <w:rPr>
                <w:kern w:val="2"/>
                <w:sz w:val="18"/>
                <w:szCs w:val="18"/>
                <w:lang w:val="uk-UA"/>
              </w:rPr>
              <w:t>1.5</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Моніторинг ефективності та впливу проекту з охорони здоров'я, охорони здоров'я та охорони здоров'я до ЄБРР, включаючи вирішення скарг, на узгоджених етапах та за узгоджений період</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Запобігання негативному впливу EHS на етапі будівництва.</w:t>
            </w:r>
          </w:p>
          <w:p>
            <w:pPr>
              <w:pStyle w:val="Normal"/>
              <w:rPr>
                <w:sz w:val="18"/>
                <w:szCs w:val="18"/>
                <w:lang w:val="uk-UA"/>
              </w:rPr>
            </w:pPr>
            <w:r>
              <w:rPr>
                <w:kern w:val="2"/>
                <w:sz w:val="18"/>
                <w:szCs w:val="18"/>
                <w:lang w:val="uk-UA"/>
              </w:rPr>
              <w:t>ЄБРР вимагає обов'язкову звітність.</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 з персоналу КП «Тернопільелектро-транс».</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На щорічній основі.</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Статус виконання Плану та окремих екологічних та соціальних показників, включаючи вирішення скарг протягом узгодженого (з вимогами ЄБРР) періоду.</w:t>
            </w:r>
          </w:p>
          <w:p>
            <w:pPr>
              <w:pStyle w:val="Normal"/>
              <w:rPr>
                <w:sz w:val="18"/>
                <w:szCs w:val="18"/>
                <w:lang w:val="uk-UA"/>
              </w:rPr>
            </w:pPr>
            <w:r>
              <w:rPr>
                <w:kern w:val="2"/>
                <w:sz w:val="18"/>
                <w:szCs w:val="18"/>
                <w:lang w:val="uk-UA"/>
              </w:rPr>
              <w:t>Щорічний звіт EHS для ЄБРР.</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2. Праця та умови праці</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2.1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Продовження впровадження ефективного механізму розгляду скарг для штатних працівників та працівників субпідрядників. </w:t>
            </w:r>
          </w:p>
          <w:p>
            <w:pPr>
              <w:pStyle w:val="NormalWeb"/>
              <w:spacing w:beforeAutospacing="0" w:before="0" w:afterAutospacing="0" w:after="0"/>
              <w:rPr>
                <w:kern w:val="2"/>
                <w:sz w:val="18"/>
                <w:szCs w:val="18"/>
                <w:lang w:val="uk-UA"/>
              </w:rPr>
            </w:pPr>
            <w:r>
              <w:rPr>
                <w:kern w:val="2"/>
                <w:sz w:val="18"/>
                <w:szCs w:val="18"/>
                <w:lang w:val="uk-UA"/>
              </w:rPr>
              <w:t xml:space="preserve">Інформувати працівників про механізм розгляду скарг під час прийняття на роботу. </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Забезпечити відповідність діяльності підрядника вимогам політики кредитора. </w:t>
            </w:r>
          </w:p>
          <w:p>
            <w:pPr>
              <w:pStyle w:val="NormalWeb"/>
              <w:spacing w:beforeAutospacing="0" w:before="0" w:afterAutospacing="0" w:after="0"/>
              <w:rPr>
                <w:kern w:val="2"/>
                <w:sz w:val="18"/>
                <w:szCs w:val="18"/>
                <w:lang w:val="uk-UA"/>
              </w:rPr>
            </w:pPr>
            <w:r>
              <w:rPr>
                <w:kern w:val="2"/>
                <w:sz w:val="18"/>
                <w:szCs w:val="18"/>
                <w:lang w:val="uk-UA"/>
              </w:rPr>
              <w:t xml:space="preserve">Репутаційний ризик.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ЄБРР PR2, PR4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Конвенції МОП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Внутрішні ресурси;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Менеджер з персоналу;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Проектний менеджер. </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 початку робіт</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Дієвий механізм розгляду скарг. Працівники інформуються про процес розгляду скарг і процедури перед прийомом на роботу. </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b/>
                <w:b/>
                <w:bCs/>
                <w:color w:val="FFFFFF" w:themeColor="background1"/>
                <w:sz w:val="18"/>
                <w:szCs w:val="18"/>
                <w:lang w:val="uk-UA"/>
              </w:rPr>
            </w:pPr>
            <w:r>
              <w:rPr>
                <w:b/>
                <w:bCs/>
                <w:color w:val="FFFFFF" w:themeColor="background1"/>
                <w:sz w:val="18"/>
                <w:szCs w:val="18"/>
                <w:lang w:val="uk-UA"/>
              </w:rPr>
              <w:t>3. Ресурсоефективність, запобігання та контроль забруднення</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3.1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Контролювати викиди пилу за допомогою води або інших методів придушення пилу на дорогах і будівельних територіях, які можуть утворювати пил, який може досягати чутливих зон за межами майданчика.</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Контроль викидів.</w:t>
            </w:r>
          </w:p>
          <w:p>
            <w:pPr>
              <w:pStyle w:val="NormalWeb"/>
              <w:spacing w:beforeAutospacing="0" w:before="0" w:afterAutospacing="0" w:after="0"/>
              <w:rPr>
                <w:kern w:val="2"/>
                <w:sz w:val="18"/>
                <w:szCs w:val="18"/>
                <w:lang w:val="uk-UA"/>
              </w:rPr>
            </w:pPr>
            <w:r>
              <w:rPr>
                <w:kern w:val="2"/>
                <w:sz w:val="18"/>
                <w:szCs w:val="18"/>
                <w:lang w:val="uk-UA"/>
              </w:rPr>
              <w:t xml:space="preserve">Запобігання скаргам від мешканців житлових районів і впливу на працівників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 PR2,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Під час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Відсутність скарг від стейкхолдерів.</w:t>
            </w:r>
          </w:p>
          <w:p>
            <w:pPr>
              <w:pStyle w:val="NormalWeb"/>
              <w:spacing w:beforeAutospacing="0" w:before="0" w:afterAutospacing="0" w:after="0"/>
              <w:rPr>
                <w:kern w:val="2"/>
                <w:sz w:val="18"/>
                <w:szCs w:val="18"/>
                <w:lang w:val="uk-UA"/>
              </w:rPr>
            </w:pPr>
            <w:r>
              <w:rPr>
                <w:kern w:val="2"/>
                <w:sz w:val="18"/>
                <w:szCs w:val="18"/>
                <w:lang w:val="uk-UA"/>
              </w:rPr>
              <w:t>Гарний стан будівельного майданчика.</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b/>
                <w:b/>
                <w:bCs/>
                <w:sz w:val="18"/>
                <w:szCs w:val="18"/>
                <w:lang w:val="uk-UA"/>
              </w:rPr>
            </w:pPr>
            <w:r>
              <w:rPr>
                <w:kern w:val="2"/>
                <w:sz w:val="18"/>
                <w:szCs w:val="18"/>
                <w:lang w:val="uk-UA"/>
              </w:rPr>
              <w:t>3.2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Контролювати та пом’якшувати вплив шуму, дотримуватись графіків робочого часу під час шумних робіт на будівельному майданчику, використання транс-портних засобів та обладнання, а також маршрутів та термінів доставки будівельних матеріалів.</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sz w:val="18"/>
                <w:szCs w:val="18"/>
                <w:lang w:val="uk-UA"/>
              </w:rPr>
            </w:pPr>
            <w:r>
              <w:rPr>
                <w:kern w:val="2"/>
                <w:sz w:val="18"/>
                <w:szCs w:val="18"/>
                <w:lang w:val="uk-UA"/>
              </w:rPr>
              <w:t>Запобігання надходженню скарг від сусідньої громади та впливу на працівників.</w:t>
            </w:r>
          </w:p>
          <w:p>
            <w:pPr>
              <w:pStyle w:val="Normal"/>
              <w:rPr>
                <w:sz w:val="18"/>
                <w:szCs w:val="18"/>
                <w:lang w:val="uk-UA"/>
              </w:rPr>
            </w:pPr>
            <w:r>
              <w:rPr>
                <w:kern w:val="2"/>
                <w:sz w:val="18"/>
                <w:szCs w:val="18"/>
                <w:lang w:val="uk-UA"/>
              </w:rPr>
              <w:t>Недопущення штрафних санкцій з боку органів влади.</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 PR2,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Під час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kern w:val="2"/>
                <w:sz w:val="18"/>
                <w:szCs w:val="18"/>
                <w:lang w:val="uk-UA"/>
              </w:rPr>
              <w:t>Відсутність скарг від стейкхолдерів.</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kern w:val="2"/>
                <w:sz w:val="18"/>
                <w:szCs w:val="18"/>
                <w:lang w:val="uk-UA"/>
              </w:rPr>
            </w:pPr>
            <w:r>
              <w:rPr>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3.3</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Розробка плану управління відходами (WMP) на етапі будівництва з визначенням усіх типів утворених відходів, а також заходів щодо зберігання та утилізації всіх потоків відходів, включаючи поводження з небезпечними відходами. </w:t>
            </w:r>
          </w:p>
          <w:p>
            <w:pPr>
              <w:pStyle w:val="NormalWeb"/>
              <w:spacing w:beforeAutospacing="0" w:before="0" w:afterAutospacing="0" w:after="0"/>
              <w:rPr>
                <w:kern w:val="2"/>
                <w:sz w:val="18"/>
                <w:szCs w:val="18"/>
                <w:lang w:val="uk-UA"/>
              </w:rPr>
            </w:pPr>
            <w:r>
              <w:rPr>
                <w:kern w:val="2"/>
                <w:sz w:val="18"/>
                <w:szCs w:val="18"/>
                <w:lang w:val="uk-UA"/>
              </w:rPr>
              <w:t>Визначити та укласти контракти зі спеціалізованими ліцензованими компаніями з утилізації небезпечних відходів.</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Запобігання скаргам від зацікавлених сторін.</w:t>
            </w:r>
          </w:p>
          <w:p>
            <w:pPr>
              <w:pStyle w:val="NormalWeb"/>
              <w:spacing w:beforeAutospacing="0" w:before="0" w:afterAutospacing="0" w:after="0"/>
              <w:rPr>
                <w:kern w:val="2"/>
                <w:sz w:val="18"/>
                <w:szCs w:val="18"/>
                <w:lang w:val="uk-UA"/>
              </w:rPr>
            </w:pPr>
            <w:r>
              <w:rPr>
                <w:kern w:val="2"/>
                <w:sz w:val="18"/>
                <w:szCs w:val="18"/>
                <w:lang w:val="uk-UA"/>
              </w:rPr>
              <w:t>Недопущення штрафних санкцій з боку органів влади.</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2008/98/ЄС.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Менеджер EHS.</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Перед початком і впродовж усього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Розроблено WMP.</w:t>
            </w:r>
          </w:p>
          <w:p>
            <w:pPr>
              <w:pStyle w:val="NormalWeb"/>
              <w:spacing w:beforeAutospacing="0" w:before="0" w:afterAutospacing="0" w:after="0"/>
              <w:rPr>
                <w:kern w:val="2"/>
                <w:sz w:val="18"/>
                <w:szCs w:val="18"/>
                <w:lang w:val="uk-UA"/>
              </w:rPr>
            </w:pPr>
            <w:r>
              <w:rPr>
                <w:kern w:val="2"/>
                <w:sz w:val="18"/>
                <w:szCs w:val="18"/>
                <w:lang w:val="uk-UA"/>
              </w:rPr>
              <w:t>Місця зберігання відходів організовані відповідно до національних та міжнародних вимог.</w:t>
            </w:r>
          </w:p>
          <w:p>
            <w:pPr>
              <w:pStyle w:val="NormalWeb"/>
              <w:spacing w:beforeAutospacing="0" w:before="0" w:afterAutospacing="0" w:after="0"/>
              <w:rPr>
                <w:kern w:val="2"/>
                <w:sz w:val="18"/>
                <w:szCs w:val="18"/>
                <w:lang w:val="uk-UA"/>
              </w:rPr>
            </w:pPr>
            <w:r>
              <w:rPr>
                <w:kern w:val="2"/>
                <w:sz w:val="18"/>
                <w:szCs w:val="18"/>
                <w:lang w:val="uk-UA"/>
              </w:rPr>
              <w:t>Договори з утилізаційними компаніями (зокрема, щодо небезпечних відходів).</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4. Охорона здоров'я та безпека праці</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Розробка та впровадження Плану управління будівництвом, включаючи план з охорони та безпеки праці  (OHS) для керівництва всіма діями, що пов'язані з проектом, на будівельному майданчику з метою захисту працівників та місцевої громади.</w:t>
            </w:r>
          </w:p>
          <w:p>
            <w:pPr>
              <w:pStyle w:val="NormalWeb"/>
              <w:spacing w:beforeAutospacing="0" w:before="0" w:afterAutospacing="0" w:after="0"/>
              <w:rPr>
                <w:kern w:val="2"/>
                <w:sz w:val="18"/>
                <w:szCs w:val="18"/>
                <w:lang w:val="uk-UA"/>
              </w:rPr>
            </w:pPr>
            <w:r>
              <w:rPr>
                <w:kern w:val="2"/>
                <w:sz w:val="18"/>
                <w:szCs w:val="18"/>
                <w:lang w:val="uk-UA"/>
              </w:rPr>
              <w:t>Розробка реєстру аналізу ризиків відповідно до ISO 45001 та заходи щодо їх пом'якшення.</w:t>
            </w:r>
          </w:p>
          <w:p>
            <w:pPr>
              <w:pStyle w:val="NormalWeb"/>
              <w:spacing w:beforeAutospacing="0" w:before="0" w:afterAutospacing="0" w:after="0"/>
              <w:rPr>
                <w:kern w:val="2"/>
                <w:sz w:val="18"/>
                <w:szCs w:val="18"/>
                <w:lang w:val="uk-UA"/>
              </w:rPr>
            </w:pPr>
            <w:r>
              <w:rPr>
                <w:kern w:val="2"/>
                <w:sz w:val="18"/>
                <w:szCs w:val="18"/>
                <w:lang w:val="uk-UA"/>
              </w:rPr>
              <w:t>Контроль за постачанням засобів індивідуального захисту (ЗІЗ), роз’яснення вимог щодо ЗІЗ та правильним використанням ЗІЗ.</w:t>
            </w:r>
          </w:p>
          <w:p>
            <w:pPr>
              <w:pStyle w:val="NormalWeb"/>
              <w:spacing w:beforeAutospacing="0" w:before="0" w:afterAutospacing="0" w:after="0"/>
              <w:rPr>
                <w:kern w:val="2"/>
                <w:sz w:val="18"/>
                <w:szCs w:val="18"/>
                <w:lang w:val="uk-UA"/>
              </w:rPr>
            </w:pPr>
            <w:r>
              <w:rPr>
                <w:kern w:val="2"/>
                <w:sz w:val="18"/>
                <w:szCs w:val="18"/>
                <w:lang w:val="uk-UA"/>
              </w:rPr>
              <w:t>Інструктаж з техніки безпеки для всіх працівників.</w:t>
            </w:r>
          </w:p>
          <w:p>
            <w:pPr>
              <w:pStyle w:val="NormalWeb"/>
              <w:spacing w:beforeAutospacing="0" w:before="0" w:afterAutospacing="0" w:after="0"/>
              <w:rPr>
                <w:kern w:val="2"/>
                <w:sz w:val="18"/>
                <w:szCs w:val="18"/>
                <w:lang w:val="uk-UA"/>
              </w:rPr>
            </w:pPr>
            <w:r>
              <w:rPr>
                <w:kern w:val="2"/>
                <w:sz w:val="18"/>
                <w:szCs w:val="18"/>
                <w:lang w:val="uk-UA"/>
              </w:rPr>
              <w:t>Нагляд за виконанням підрядниками вимог з охорони праці, включаючи звітність.</w:t>
            </w:r>
          </w:p>
          <w:p>
            <w:pPr>
              <w:pStyle w:val="NormalWeb"/>
              <w:spacing w:beforeAutospacing="0" w:before="0" w:afterAutospacing="0" w:after="0"/>
              <w:rPr>
                <w:kern w:val="2"/>
                <w:sz w:val="18"/>
                <w:szCs w:val="18"/>
                <w:lang w:val="uk-UA"/>
              </w:rPr>
            </w:pPr>
            <w:r>
              <w:rPr>
                <w:kern w:val="2"/>
                <w:sz w:val="18"/>
                <w:szCs w:val="18"/>
                <w:lang w:val="uk-UA"/>
              </w:rPr>
              <w:t>Запис статистичних даних про інциденти (помилки, травми, надзвичайні ситуації, включаючи загальну кількість робочих годин, з урахуванням робочих годин підрядників).</w:t>
            </w:r>
          </w:p>
          <w:p>
            <w:pPr>
              <w:pStyle w:val="NormalWeb"/>
              <w:spacing w:beforeAutospacing="0" w:before="0" w:afterAutospacing="0" w:after="0"/>
              <w:rPr>
                <w:kern w:val="2"/>
                <w:sz w:val="18"/>
                <w:szCs w:val="18"/>
                <w:lang w:val="uk-UA"/>
              </w:rPr>
            </w:pPr>
            <w:r>
              <w:rPr>
                <w:kern w:val="2"/>
                <w:sz w:val="18"/>
                <w:szCs w:val="18"/>
                <w:lang w:val="uk-UA"/>
              </w:rPr>
              <w:t>Відповідність умов праці та стандартів праці національним вимогам та вимогам ЄБРР PR2.</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Запобігання будь-яким нещасним випадкам та інцидентам під час будівельних робіт.</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 PR2;</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45001.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Менеджер EHS/OHS.</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Перед початком і впродовж усього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Розроблено план управління будівництвом.</w:t>
            </w:r>
          </w:p>
          <w:p>
            <w:pPr>
              <w:pStyle w:val="NormalWeb"/>
              <w:spacing w:beforeAutospacing="0" w:before="0" w:afterAutospacing="0" w:after="0"/>
              <w:rPr>
                <w:kern w:val="2"/>
                <w:sz w:val="18"/>
                <w:szCs w:val="18"/>
                <w:lang w:val="uk-UA"/>
              </w:rPr>
            </w:pPr>
            <w:r>
              <w:rPr>
                <w:kern w:val="2"/>
                <w:sz w:val="18"/>
                <w:szCs w:val="18"/>
                <w:lang w:val="uk-UA"/>
              </w:rPr>
              <w:t>Розроблено план охорони праці на етапі будівництва.</w:t>
            </w:r>
          </w:p>
          <w:p>
            <w:pPr>
              <w:pStyle w:val="NormalWeb"/>
              <w:spacing w:beforeAutospacing="0" w:before="0" w:afterAutospacing="0" w:after="0"/>
              <w:rPr>
                <w:kern w:val="2"/>
                <w:sz w:val="18"/>
                <w:szCs w:val="18"/>
                <w:lang w:val="uk-UA"/>
              </w:rPr>
            </w:pPr>
            <w:r>
              <w:rPr>
                <w:kern w:val="2"/>
                <w:sz w:val="18"/>
                <w:szCs w:val="18"/>
                <w:lang w:val="uk-UA"/>
              </w:rPr>
              <w:t>Результати огляду статистики інцидентів.</w:t>
            </w:r>
          </w:p>
          <w:p>
            <w:pPr>
              <w:pStyle w:val="NormalWeb"/>
              <w:spacing w:beforeAutospacing="0" w:before="0" w:afterAutospacing="0" w:after="0"/>
              <w:rPr>
                <w:kern w:val="2"/>
                <w:sz w:val="18"/>
                <w:szCs w:val="18"/>
                <w:lang w:val="uk-UA"/>
              </w:rPr>
            </w:pPr>
            <w:r>
              <w:rPr>
                <w:kern w:val="2"/>
                <w:sz w:val="18"/>
                <w:szCs w:val="18"/>
                <w:lang w:val="uk-UA"/>
              </w:rPr>
              <w:t>Сертифікати, пов'язані зі спеціальним навчанням для виконання небезпечних робіт.</w:t>
            </w:r>
          </w:p>
          <w:p>
            <w:pPr>
              <w:pStyle w:val="NormalWeb"/>
              <w:spacing w:beforeAutospacing="0" w:before="0" w:afterAutospacing="0" w:after="0"/>
              <w:rPr>
                <w:kern w:val="2"/>
                <w:sz w:val="18"/>
                <w:szCs w:val="18"/>
                <w:lang w:val="uk-UA"/>
              </w:rPr>
            </w:pPr>
            <w:r>
              <w:rPr>
                <w:kern w:val="2"/>
                <w:sz w:val="18"/>
                <w:szCs w:val="18"/>
                <w:lang w:val="uk-UA"/>
              </w:rPr>
              <w:t>Внутрішні дозволи на виконання робіт підвищеної небезпеки.</w:t>
            </w:r>
          </w:p>
          <w:p>
            <w:pPr>
              <w:pStyle w:val="NormalWeb"/>
              <w:spacing w:beforeAutospacing="0" w:before="0" w:afterAutospacing="0" w:after="0"/>
              <w:rPr>
                <w:kern w:val="2"/>
                <w:sz w:val="18"/>
                <w:szCs w:val="18"/>
                <w:lang w:val="uk-UA"/>
              </w:rPr>
            </w:pPr>
            <w:r>
              <w:rPr>
                <w:kern w:val="2"/>
                <w:sz w:val="18"/>
                <w:szCs w:val="18"/>
                <w:lang w:val="uk-UA"/>
              </w:rPr>
              <w:t>Результати внутрішнього EHS аудиту будівельного майданчику.</w:t>
            </w:r>
          </w:p>
          <w:p>
            <w:pPr>
              <w:pStyle w:val="NormalWeb"/>
              <w:spacing w:beforeAutospacing="0" w:before="0" w:afterAutospacing="0" w:after="0"/>
              <w:rPr>
                <w:kern w:val="2"/>
                <w:sz w:val="18"/>
                <w:szCs w:val="18"/>
                <w:lang w:val="uk-UA"/>
              </w:rPr>
            </w:pPr>
            <w:r>
              <w:rPr>
                <w:kern w:val="2"/>
                <w:sz w:val="18"/>
                <w:szCs w:val="18"/>
                <w:lang w:val="uk-UA"/>
              </w:rPr>
              <w:t>Результати зовнішніх перевірок.</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vAlign w:val="center"/>
          </w:tcPr>
          <w:p>
            <w:pPr>
              <w:pStyle w:val="NormalWeb"/>
              <w:spacing w:beforeAutospacing="0" w:before="0" w:afterAutospacing="0" w:after="0"/>
              <w:rPr>
                <w:kern w:val="2"/>
                <w:sz w:val="18"/>
                <w:szCs w:val="18"/>
                <w:lang w:val="uk-UA"/>
              </w:rPr>
            </w:pPr>
            <w:r>
              <w:rPr>
                <w:kern w:val="2"/>
                <w:sz w:val="18"/>
                <w:szCs w:val="18"/>
                <w:lang w:val="uk-UA"/>
              </w:rPr>
              <w:t>Підготовка та впровадження плану організації дорожнього руху, включаючи розгляд маршрутів перевезень, інших учасників дорожнього руху (наприклад, транспортних засобів та пішоходів), обмежень швидкості на території та за її межами, попереджувальних знаків тощо. Консультації з місцевою громадою щодо плану організації дорожнього руху.</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Попередження скарг від зацікавлених сторін, запобігання ДТП на дорогах та на території КП «Тернопільелектро-транс».</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 PR10;</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2003/4/ЄС.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Перед початком етапу будівництва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Затверджено план організації дорож-нього руху з Автодором та місцевими органами автоінспекції.</w:t>
            </w:r>
          </w:p>
          <w:p>
            <w:pPr>
              <w:pStyle w:val="NormalWeb"/>
              <w:spacing w:beforeAutospacing="0" w:before="0" w:afterAutospacing="0" w:after="0"/>
              <w:rPr>
                <w:kern w:val="2"/>
                <w:sz w:val="18"/>
                <w:szCs w:val="18"/>
                <w:lang w:val="uk-UA"/>
              </w:rPr>
            </w:pPr>
            <w:r>
              <w:rPr>
                <w:kern w:val="2"/>
                <w:sz w:val="18"/>
                <w:szCs w:val="18"/>
                <w:lang w:val="uk-UA"/>
              </w:rPr>
              <w:t>Водіїв інформують про обмеження швидкості.</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4.3</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vAlign w:val="center"/>
          </w:tcPr>
          <w:p>
            <w:pPr>
              <w:pStyle w:val="NormalWeb"/>
              <w:spacing w:beforeAutospacing="0" w:before="0" w:afterAutospacing="0" w:after="0"/>
              <w:rPr>
                <w:kern w:val="2"/>
                <w:sz w:val="18"/>
                <w:szCs w:val="18"/>
                <w:lang w:val="uk-UA"/>
              </w:rPr>
            </w:pPr>
            <w:r>
              <w:rPr>
                <w:kern w:val="2"/>
                <w:sz w:val="18"/>
                <w:szCs w:val="18"/>
                <w:lang w:val="uk-UA"/>
              </w:rPr>
              <w:t>Встановлення системи оповіщення про паводок тягової підстанції №2 та тролейбусного депо.</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Система завчасного сповіщення</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PR3</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Монтаж під час модернізації підстанції та депо</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Фото та документація, що підтверджує монтаж</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b/>
                <w:b/>
                <w:bCs/>
                <w:kern w:val="2"/>
                <w:sz w:val="18"/>
                <w:szCs w:val="18"/>
                <w:lang w:val="uk-UA"/>
              </w:rPr>
            </w:pPr>
            <w:r>
              <w:rPr>
                <w:b/>
                <w:bCs/>
                <w:kern w:val="2"/>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4.4</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vAlign w:val="center"/>
          </w:tcPr>
          <w:p>
            <w:pPr>
              <w:pStyle w:val="NormalWeb"/>
              <w:spacing w:beforeAutospacing="0" w:before="0" w:afterAutospacing="0" w:after="0"/>
              <w:rPr>
                <w:kern w:val="2"/>
                <w:sz w:val="18"/>
                <w:szCs w:val="18"/>
                <w:lang w:val="uk-UA"/>
              </w:rPr>
            </w:pPr>
            <w:r>
              <w:rPr>
                <w:kern w:val="2"/>
                <w:sz w:val="18"/>
                <w:szCs w:val="18"/>
                <w:lang w:val="uk-UA"/>
              </w:rPr>
              <w:t>Урахування здатності системи кондиціонування повітря салону рухомого складу функціонувати в межах максимальної температури (36°C). Включення як умову закупівлі.</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Ризик екстремальних температур</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Генеральний підрядник</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Включення як умови закупівлі</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Характеристики системи кондиціювання повітря вказані в технічній документації нового рухомого складу.</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b/>
                <w:b/>
                <w:bCs/>
                <w:kern w:val="2"/>
                <w:sz w:val="18"/>
                <w:szCs w:val="18"/>
                <w:lang w:val="uk-UA"/>
              </w:rPr>
            </w:pPr>
            <w:r>
              <w:rPr>
                <w:b/>
                <w:bCs/>
                <w:kern w:val="2"/>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10. Розкриття інформації та взаємодія із зацікавленими сторонами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10.1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Продовжувати впровадження SEP та реагувати на скарги відповідно до процедури управління скаргами.</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Управління скаргами та позитивна репутація КП «Тернопільелектротранс».</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 PR10,</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Записка ЄБРР щодо врегулювання скарг</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2003/4/ЄС.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Менеджер зі зв'язків з громадськістю.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На етапі реконструкції.</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Оприлюднення інформації на сайті та в соціальних мережах КП «Тернопільелектротранс».</w:t>
            </w:r>
          </w:p>
          <w:p>
            <w:pPr>
              <w:pStyle w:val="NormalWeb"/>
              <w:spacing w:beforeAutospacing="0" w:before="0" w:afterAutospacing="0" w:after="0"/>
              <w:rPr>
                <w:kern w:val="2"/>
                <w:sz w:val="18"/>
                <w:szCs w:val="18"/>
                <w:lang w:val="uk-UA"/>
              </w:rPr>
            </w:pPr>
            <w:r>
              <w:rPr>
                <w:kern w:val="2"/>
                <w:sz w:val="18"/>
                <w:szCs w:val="18"/>
                <w:lang w:val="uk-UA"/>
              </w:rPr>
              <w:t>Реакція на скарги.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10.2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Інформувати стейкхолдерів про тимчасові незручності у зв'язку з проведенням відновлювальних робіт.</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Попередження скарг від зацікавлених сторін, запобігання ДТП на дорогах та на території депо.</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PR10,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Політика доступу ЄБРР до інформації;</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Проектний менедж-мент у співпраці з Тернопільською міською радою;</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Менеджер зі зв'язків з громадськістю.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Під час реалізації проекту.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Банер з встановленим паспортом проекту. Поінформовані зацікавлені сторони. </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10.3</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Готувати щорічний екологічний та соціальний звіт.</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Тримати акціонерів і кредиторів в курсі суттєвих, екологічних та соціальних питань.</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ЄБРР PR1, PR10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Внутрішні ресурси за допомогою проектної компанії.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Менеджер зі зв'язків з громадськістю, проектний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Триває протягом всього терміну дії проєкту. Протягом 90 днів після кож-ного календарного року.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Щорічний екологічний та соціальний звіт буде оприлюднено на сайті підприємства.</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013" w:type="dxa"/>
            <w:gridSpan w:val="12"/>
            <w:tcBorders>
              <w:top w:val="single" w:sz="18" w:space="0" w:color="262626"/>
              <w:bottom w:val="single" w:sz="12" w:space="0" w:color="262626"/>
            </w:tcBorders>
            <w:shd w:fill="auto" w:val="clear"/>
            <w:tcMar>
              <w:left w:w="144" w:type="dxa"/>
            </w:tcMar>
            <w:vAlign w:val="center"/>
          </w:tcPr>
          <w:p>
            <w:pPr>
              <w:pStyle w:val="Normal"/>
              <w:rPr>
                <w:b/>
                <w:b/>
                <w:bCs/>
                <w:sz w:val="18"/>
                <w:szCs w:val="18"/>
                <w:lang w:val="uk-UA"/>
              </w:rPr>
            </w:pPr>
            <w:r>
              <w:rPr>
                <w:b/>
                <w:bCs/>
                <w:sz w:val="18"/>
                <w:szCs w:val="18"/>
                <w:lang w:val="uk-UA"/>
              </w:rPr>
              <w:t>Фаза експлуатації</w:t>
            </w:r>
          </w:p>
        </w:tc>
        <w:tc>
          <w:tcPr>
            <w:tcW w:w="1386" w:type="dxa"/>
            <w:gridSpan w:val="4"/>
            <w:tcBorders>
              <w:top w:val="single" w:sz="18" w:space="0" w:color="262626"/>
              <w:bottom w:val="single" w:sz="12" w:space="0" w:color="262626"/>
            </w:tcBorders>
            <w:shd w:fill="auto"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79" w:type="dxa"/>
            <w:gridSpan w:val="2"/>
            <w:tcBorders/>
            <w:shd w:fill="auto" w:val="clear"/>
            <w:tcMar>
              <w:top w:w="14" w:type="dxa"/>
              <w:left w:w="43" w:type="dxa"/>
              <w:bottom w:w="14" w:type="dxa"/>
              <w:right w:w="43" w:type="dxa"/>
            </w:tcMar>
          </w:tcPr>
          <w:p>
            <w:pPr>
              <w:pStyle w:val="Normal"/>
              <w:rPr/>
            </w:pPr>
            <w:r>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 Оцінка та управління екологічними та соціальними впливами і проблемами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Висвітлювання всіх екологічних та соціальних питань, запропонованих проектних операцій впровадженою ССЕУ КП «Тернопільелектро-транс».</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Ефективна ССЕУ допоможе в управлінні використанням природних ресурсів та дотриманні вимог законодавства.</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 PR10;</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14001.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На постійній основі.</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Вся документація, що охоплює ССЕУ за стандартом ISO 14001: Політика, реєстр екологічних ризиків, процедури, звіти, внутрішні аудити тощо.</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tabs>
                <w:tab w:val="clear" w:pos="708"/>
                <w:tab w:val="left" w:pos="366" w:leader="none"/>
              </w:tabs>
              <w:ind w:left="83" w:hanging="0"/>
              <w:rPr>
                <w:sz w:val="18"/>
                <w:szCs w:val="18"/>
                <w:lang w:val="uk-UA"/>
              </w:rPr>
            </w:pPr>
            <w:r>
              <w:rPr>
                <w:b/>
                <w:bCs/>
                <w:color w:val="FFFFFF" w:themeColor="background1"/>
                <w:sz w:val="18"/>
                <w:szCs w:val="18"/>
                <w:lang w:val="uk-UA"/>
              </w:rPr>
              <w:t>2. Праця та умови праці</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2.1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Продовжуйте впровадження ефективного механізму розгляду скарг для штатних працівників та працівників субпідрядників. </w:t>
            </w:r>
          </w:p>
          <w:p>
            <w:pPr>
              <w:pStyle w:val="NormalWeb"/>
              <w:spacing w:beforeAutospacing="0" w:before="0" w:afterAutospacing="0" w:after="0"/>
              <w:rPr>
                <w:kern w:val="2"/>
                <w:sz w:val="18"/>
                <w:szCs w:val="18"/>
                <w:lang w:val="uk-UA"/>
              </w:rPr>
            </w:pPr>
            <w:r>
              <w:rPr>
                <w:kern w:val="2"/>
                <w:sz w:val="18"/>
                <w:szCs w:val="18"/>
                <w:lang w:val="uk-UA"/>
              </w:rPr>
              <w:t xml:space="preserve">Проаналізуйте записи скарг. Оцініть процедуру розгляду скарги. </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Забезпечення відповідності діяльності підрядника вимогам політики кредитора. Репутаційний ризик.</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ЄБРР PR2, PR4;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конвенції МОП;</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НДТ.</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Внутрішні ресурси;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Менеджер з персоналу компанії;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Проектний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Перед реконструкцією.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Діє ефективний механізм розгляду скарг. Оновлення процедури розгляду скарг.</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3. Ресурсоефективність, запобігання та контроль забруднення</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3.1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Забезпечити належне управління утворенням та утилізацією твердих побутових відходів під час реалізації проекту, приділяючи особливу увагу небезпечним відходам. </w:t>
            </w:r>
          </w:p>
          <w:p>
            <w:pPr>
              <w:pStyle w:val="NormalWeb"/>
              <w:spacing w:beforeAutospacing="0" w:before="0" w:afterAutospacing="0" w:after="0"/>
              <w:rPr>
                <w:kern w:val="2"/>
                <w:sz w:val="18"/>
                <w:szCs w:val="18"/>
                <w:lang w:val="uk-UA"/>
              </w:rPr>
            </w:pPr>
            <w:r>
              <w:rPr>
                <w:kern w:val="2"/>
                <w:sz w:val="18"/>
                <w:szCs w:val="18"/>
                <w:lang w:val="uk-UA"/>
              </w:rPr>
              <w:t>Оновити План управління відходами, а також оновити інвентаризацію відходів ПАТ «Тернопільелектро-транс» для обліку нових утворень відходів після реалізації проекту.</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Дотримання вимог законодавства. </w:t>
            </w:r>
          </w:p>
          <w:p>
            <w:pPr>
              <w:pStyle w:val="NormalWeb"/>
              <w:spacing w:beforeAutospacing="0" w:before="0" w:afterAutospacing="0" w:after="0"/>
              <w:rPr>
                <w:kern w:val="2"/>
                <w:sz w:val="18"/>
                <w:szCs w:val="18"/>
                <w:lang w:val="uk-UA"/>
              </w:rPr>
            </w:pPr>
            <w:r>
              <w:rPr>
                <w:kern w:val="2"/>
                <w:sz w:val="18"/>
                <w:szCs w:val="18"/>
                <w:lang w:val="uk-UA"/>
              </w:rPr>
              <w:t>Профілактика забруднення.</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ЄБРР PR3;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Національне законо-давство;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ISO 14001;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2008/98/ЄС.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Внутрішні ресурси;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Залучення зовнішнього консультанта (опціонально).</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Після початку проекту виконується експлуатаційна фаза і на регулярній основі.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Оновлена інвентаризація відходів. </w:t>
            </w:r>
          </w:p>
          <w:p>
            <w:pPr>
              <w:pStyle w:val="NormalWeb"/>
              <w:spacing w:beforeAutospacing="0" w:before="0" w:afterAutospacing="0" w:after="0"/>
              <w:rPr>
                <w:kern w:val="2"/>
                <w:sz w:val="18"/>
                <w:szCs w:val="18"/>
                <w:lang w:val="uk-UA"/>
              </w:rPr>
            </w:pPr>
            <w:r>
              <w:rPr>
                <w:kern w:val="2"/>
                <w:sz w:val="18"/>
                <w:szCs w:val="18"/>
                <w:lang w:val="uk-UA"/>
              </w:rPr>
              <w:t>Оновлений план управління відходами.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4. Охорона здоров'я та безпека праці</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Аналізувати всі ризики EHS сфери від нового проекту на постійній основі,  вносити їх до матриці ризиків, що розроблена для поточної роботи КП «Тернопільелектротранс».</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Ефективне управління ризи-ками EHS сфери, мінімізація травматизму та запобігання нещасним випадкам.</w:t>
            </w:r>
          </w:p>
          <w:p>
            <w:pPr>
              <w:pStyle w:val="NormalWeb"/>
              <w:spacing w:beforeAutospacing="0" w:before="0" w:afterAutospacing="0" w:after="0"/>
              <w:rPr>
                <w:kern w:val="2"/>
                <w:sz w:val="18"/>
                <w:szCs w:val="18"/>
                <w:lang w:val="uk-UA"/>
              </w:rPr>
            </w:pPr>
            <w:r>
              <w:rPr>
                <w:kern w:val="2"/>
                <w:sz w:val="18"/>
                <w:szCs w:val="18"/>
                <w:lang w:val="uk-UA"/>
              </w:rPr>
              <w:t>Зниження витрат, пов'язаних з хворобами і страховими виплатами.</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45001.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Постійно.</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Оновлено матрицю управління ризиками EHS.</w:t>
            </w:r>
          </w:p>
          <w:p>
            <w:pPr>
              <w:pStyle w:val="NormalWeb"/>
              <w:spacing w:beforeAutospacing="0" w:before="0" w:afterAutospacing="0" w:after="0"/>
              <w:rPr>
                <w:kern w:val="2"/>
                <w:sz w:val="18"/>
                <w:szCs w:val="18"/>
                <w:lang w:val="uk-UA"/>
              </w:rPr>
            </w:pPr>
            <w:r>
              <w:rPr>
                <w:kern w:val="2"/>
                <w:sz w:val="18"/>
                <w:szCs w:val="18"/>
                <w:lang w:val="uk-UA"/>
              </w:rPr>
              <w:t>Нова діяльність по проекту висвітлюється у щорічному звіті з управління EHS сферою.</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vAlign w:val="center"/>
          </w:tcPr>
          <w:p>
            <w:pPr>
              <w:pStyle w:val="NormalWeb"/>
              <w:spacing w:beforeAutospacing="0" w:before="0" w:afterAutospacing="0" w:after="0"/>
              <w:rPr>
                <w:kern w:val="2"/>
                <w:sz w:val="18"/>
                <w:szCs w:val="18"/>
                <w:lang w:val="uk-UA"/>
              </w:rPr>
            </w:pPr>
            <w:r>
              <w:rPr>
                <w:kern w:val="2"/>
                <w:sz w:val="18"/>
                <w:szCs w:val="18"/>
                <w:lang w:val="uk-UA"/>
              </w:rPr>
              <w:t xml:space="preserve">Запобігайте серйозним інцидентам (наприклад, вибуху, пожежі тощо) і переконайтеся, що план дій на випадок відпо-відних надзвичайних ситуацій є в наявності та зрозумілий працівникам. </w:t>
            </w:r>
          </w:p>
          <w:p>
            <w:pPr>
              <w:pStyle w:val="NormalWeb"/>
              <w:spacing w:beforeAutospacing="0" w:before="0" w:afterAutospacing="0" w:after="0"/>
              <w:rPr>
                <w:kern w:val="2"/>
                <w:sz w:val="18"/>
                <w:szCs w:val="18"/>
                <w:lang w:val="uk-UA"/>
              </w:rPr>
            </w:pPr>
            <w:r>
              <w:rPr>
                <w:kern w:val="2"/>
                <w:sz w:val="18"/>
                <w:szCs w:val="18"/>
                <w:lang w:val="uk-UA"/>
              </w:rPr>
              <w:t xml:space="preserve">Проводьте регулярне навчання персоналу. </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Профілактичні дії щодо надзвичайних ситуацій та їх наслідків (страхових виплат і відшкодування).</w:t>
              <w:br/>
              <w:t xml:space="preserve">Зниження рівня ризиків для бізнесу за рахунок превентивних та безпечних практик на робочому місці.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PR4;</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ISO 45001.</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Регулярно під час експлуатаційної фази.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Матрицю з управління EHS ризиками та План локалізації й ліквідації аварійних ситуацій оновлено. </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10. Розкриття інформації та взаємодія із зацікавленими сторонами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10.1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Своєчасно інформувати стейкхолдери та громадськість про будь-які зміни в діяльності, які можуть на них вплинути. </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Превентивні дії задля мінімізації появ скарг.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ЄБРР PR10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2003/4/ЄС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Внутрішні ресурси; </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Регулярно під час експлуатаційної фази.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Інформація, опублікована на веб-сайті та каналах соціальних мереж компанії та/або веб-ресурсах Тернопільської міської ради.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10.2 </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Запровадити ефективний механізм розгляду скарг у громаді</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Забезпечити ефективну взаємодію із зацікавленими сторонами та підтримувати добрі відносини з громадою</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 xml:space="preserve"> </w:t>
            </w:r>
            <w:r>
              <w:rPr>
                <w:sz w:val="18"/>
                <w:szCs w:val="18"/>
                <w:lang w:val="uk-UA"/>
              </w:rPr>
              <w:t>ЄБРР PR10</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ListParagraph"/>
              <w:numPr>
                <w:ilvl w:val="0"/>
                <w:numId w:val="8"/>
              </w:numPr>
              <w:tabs>
                <w:tab w:val="clear" w:pos="708"/>
                <w:tab w:val="left" w:pos="366" w:leader="none"/>
              </w:tabs>
              <w:suppressAutoHyphens w:val="false"/>
              <w:spacing w:lineRule="auto" w:line="240" w:before="0" w:after="0"/>
              <w:ind w:left="83"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 xml:space="preserve">Внутрішні ресурси. </w:t>
            </w:r>
          </w:p>
          <w:p>
            <w:pPr>
              <w:pStyle w:val="ListParagraph"/>
              <w:numPr>
                <w:ilvl w:val="0"/>
                <w:numId w:val="8"/>
              </w:numPr>
              <w:tabs>
                <w:tab w:val="clear" w:pos="708"/>
                <w:tab w:val="left" w:pos="366" w:leader="none"/>
              </w:tabs>
              <w:suppressAutoHyphens w:val="false"/>
              <w:spacing w:lineRule="auto" w:line="240" w:before="0" w:after="0"/>
              <w:ind w:left="83"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Менеджер з питань зв’язків з громадськістю або проектний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Представник виконавця.</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Триває протягом усього терміну проекту.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Скарга зберігається.  </w:t>
            </w:r>
          </w:p>
          <w:p>
            <w:pPr>
              <w:pStyle w:val="NormalWeb"/>
              <w:spacing w:beforeAutospacing="0" w:before="0" w:afterAutospacing="0" w:after="0"/>
              <w:rPr>
                <w:kern w:val="2"/>
                <w:sz w:val="18"/>
                <w:szCs w:val="18"/>
                <w:lang w:val="uk-UA"/>
              </w:rPr>
            </w:pPr>
            <w:r>
              <w:rPr>
                <w:kern w:val="2"/>
                <w:sz w:val="18"/>
                <w:szCs w:val="18"/>
                <w:lang w:val="uk-UA"/>
              </w:rPr>
              <w:t>Регулярні звіти про управління скаргами доступні для кредиторів в оновленому вигляді.</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13013" w:type="dxa"/>
            <w:gridSpan w:val="12"/>
            <w:tcBorders>
              <w:top w:val="single" w:sz="18" w:space="0" w:color="262626"/>
              <w:bottom w:val="single" w:sz="12" w:space="0" w:color="262626"/>
            </w:tcBorders>
            <w:shd w:fill="auto" w:val="clear"/>
            <w:tcMar>
              <w:left w:w="144" w:type="dxa"/>
            </w:tcMar>
            <w:vAlign w:val="center"/>
          </w:tcPr>
          <w:p>
            <w:pPr>
              <w:pStyle w:val="Normal"/>
              <w:rPr>
                <w:b/>
                <w:b/>
                <w:bCs/>
                <w:sz w:val="18"/>
                <w:szCs w:val="18"/>
                <w:lang w:val="uk-UA"/>
              </w:rPr>
            </w:pPr>
            <w:r>
              <w:rPr>
                <w:b/>
                <w:bCs/>
                <w:sz w:val="18"/>
                <w:szCs w:val="18"/>
                <w:lang w:val="uk-UA"/>
              </w:rPr>
              <w:t>Етап виведення з експлуатації</w:t>
            </w:r>
          </w:p>
        </w:tc>
        <w:tc>
          <w:tcPr>
            <w:tcW w:w="1386" w:type="dxa"/>
            <w:gridSpan w:val="4"/>
            <w:tcBorders>
              <w:top w:val="single" w:sz="18" w:space="0" w:color="262626"/>
              <w:bottom w:val="single" w:sz="12" w:space="0" w:color="262626"/>
            </w:tcBorders>
            <w:shd w:fill="auto" w:val="clear"/>
            <w:tcMar>
              <w:top w:w="14" w:type="dxa"/>
              <w:left w:w="43" w:type="dxa"/>
              <w:bottom w:w="14" w:type="dxa"/>
              <w:right w:w="43" w:type="dxa"/>
            </w:tcMar>
          </w:tcPr>
          <w:p>
            <w:pPr>
              <w:pStyle w:val="Normal"/>
              <w:rPr>
                <w:b/>
                <w:b/>
                <w:bCs/>
                <w:sz w:val="18"/>
                <w:szCs w:val="18"/>
                <w:lang w:val="uk-UA"/>
              </w:rPr>
            </w:pPr>
            <w:r>
              <w:rPr>
                <w:b/>
                <w:bCs/>
                <w:sz w:val="18"/>
                <w:szCs w:val="18"/>
                <w:lang w:val="uk-UA"/>
              </w:rPr>
            </w:r>
          </w:p>
        </w:tc>
        <w:tc>
          <w:tcPr>
            <w:tcW w:w="79" w:type="dxa"/>
            <w:gridSpan w:val="2"/>
            <w:tcBorders/>
            <w:shd w:fill="auto" w:val="clear"/>
            <w:tcMar>
              <w:top w:w="14" w:type="dxa"/>
              <w:left w:w="43" w:type="dxa"/>
              <w:bottom w:w="14" w:type="dxa"/>
              <w:right w:w="43" w:type="dxa"/>
            </w:tcMar>
          </w:tcPr>
          <w:p>
            <w:pPr>
              <w:pStyle w:val="Normal"/>
              <w:rPr/>
            </w:pPr>
            <w:r>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 Оцінка та управління екологічними та соціальними впливами і проблемами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Підготуйте та впровадьте план утилізації всіх експлуатаційних відходів.</w:t>
            </w:r>
          </w:p>
          <w:p>
            <w:pPr>
              <w:pStyle w:val="NormalWeb"/>
              <w:spacing w:beforeAutospacing="0" w:before="0" w:afterAutospacing="0" w:after="0"/>
              <w:rPr>
                <w:kern w:val="2"/>
                <w:sz w:val="18"/>
                <w:szCs w:val="18"/>
                <w:lang w:val="uk-UA"/>
              </w:rPr>
            </w:pPr>
            <w:r>
              <w:rPr>
                <w:kern w:val="2"/>
                <w:sz w:val="18"/>
                <w:szCs w:val="18"/>
                <w:lang w:val="uk-UA"/>
              </w:rPr>
              <w:t>Виведення обладнання з експлуатації та демонтаж конструкцій з подальшою утилізацією.</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Дотримання національних вимог поводження з відходами.</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Національне законодавство;</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Директива 2008/98/ЄС.</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EHS менеджер</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Після закінчення експлуатації.</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Отримано акт про зняття з експлуатації.</w:t>
            </w:r>
          </w:p>
          <w:p>
            <w:pPr>
              <w:pStyle w:val="NormalWeb"/>
              <w:spacing w:beforeAutospacing="0" w:before="0" w:afterAutospacing="0" w:after="0"/>
              <w:rPr>
                <w:kern w:val="2"/>
                <w:sz w:val="18"/>
                <w:szCs w:val="18"/>
                <w:lang w:val="uk-UA"/>
              </w:rPr>
            </w:pPr>
            <w:r>
              <w:rPr>
                <w:kern w:val="2"/>
                <w:sz w:val="18"/>
                <w:szCs w:val="18"/>
                <w:lang w:val="uk-UA"/>
              </w:rPr>
              <w:t>Укладаються договори на утилізацію відходів будівництва та знесення.</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color w:val="FFFFFF" w:themeColor="background1"/>
                <w:sz w:val="18"/>
                <w:szCs w:val="18"/>
                <w:lang w:val="uk-UA"/>
              </w:rPr>
            </w:pPr>
            <w:r>
              <w:rPr>
                <w:b/>
                <w:bCs/>
                <w:color w:val="FFFFFF" w:themeColor="background1"/>
                <w:sz w:val="18"/>
                <w:szCs w:val="18"/>
                <w:lang w:val="uk-UA"/>
              </w:rPr>
              <w:t>10. Розкриття інформації та взаємодія із зацікавленими сторонами</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10.1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Запровадити ефективний механізм розгляду скарг у громаді </w:t>
            </w:r>
          </w:p>
          <w:p>
            <w:pPr>
              <w:pStyle w:val="NormalWeb"/>
              <w:spacing w:beforeAutospacing="0" w:before="0" w:afterAutospacing="0" w:after="0"/>
              <w:rPr>
                <w:kern w:val="2"/>
                <w:sz w:val="18"/>
                <w:szCs w:val="18"/>
                <w:lang w:val="uk-UA"/>
              </w:rPr>
            </w:pPr>
            <w:r>
              <w:rPr>
                <w:kern w:val="2"/>
                <w:sz w:val="18"/>
                <w:szCs w:val="18"/>
                <w:lang w:val="uk-UA"/>
              </w:rPr>
              <w:t> </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Забезпечення ефективної  взаємодії із зацікавленими сторонами та підтримання хороших відносин із громадою. </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ЄБРР PR10.</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ListParagraph"/>
              <w:numPr>
                <w:ilvl w:val="0"/>
                <w:numId w:val="8"/>
              </w:numPr>
              <w:tabs>
                <w:tab w:val="clear" w:pos="708"/>
                <w:tab w:val="left" w:pos="366" w:leader="none"/>
              </w:tabs>
              <w:suppressAutoHyphens w:val="false"/>
              <w:spacing w:lineRule="auto" w:line="240" w:before="0" w:after="0"/>
              <w:ind w:left="83"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Внутрішні ресурси;</w:t>
            </w:r>
          </w:p>
          <w:p>
            <w:pPr>
              <w:pStyle w:val="ListParagraph"/>
              <w:numPr>
                <w:ilvl w:val="0"/>
                <w:numId w:val="8"/>
              </w:numPr>
              <w:tabs>
                <w:tab w:val="clear" w:pos="708"/>
                <w:tab w:val="left" w:pos="366" w:leader="none"/>
              </w:tabs>
              <w:suppressAutoHyphens w:val="false"/>
              <w:spacing w:lineRule="auto" w:line="240" w:before="0" w:after="0"/>
              <w:ind w:left="83" w:hanging="0"/>
              <w:rPr>
                <w:rFonts w:ascii="Times New Roman" w:hAnsi="Times New Roman" w:eastAsia="Calibri" w:cs="Times New Roman"/>
                <w:sz w:val="18"/>
                <w:szCs w:val="18"/>
                <w:lang w:val="uk-UA"/>
              </w:rPr>
            </w:pPr>
            <w:r>
              <w:rPr>
                <w:rFonts w:eastAsia="Calibri" w:cs="Times New Roman" w:ascii="Times New Roman" w:hAnsi="Times New Roman"/>
                <w:sz w:val="18"/>
                <w:szCs w:val="18"/>
                <w:lang w:val="uk-UA"/>
              </w:rPr>
              <w:t>Менеджер з питань зв'язків з громадськістю або проектний менеджер;</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Представник виконавця.</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Триває протягом усього терміну проекту.</w:t>
            </w:r>
          </w:p>
          <w:p>
            <w:pPr>
              <w:pStyle w:val="Normal"/>
              <w:rPr>
                <w:kern w:val="2"/>
                <w:sz w:val="18"/>
                <w:szCs w:val="18"/>
                <w:lang w:val="uk-UA" w:eastAsia="uk-UA"/>
              </w:rPr>
            </w:pPr>
            <w:r>
              <w:rPr>
                <w:kern w:val="2"/>
                <w:sz w:val="18"/>
                <w:szCs w:val="18"/>
                <w:lang w:val="uk-UA" w:eastAsia="uk-UA"/>
              </w:rPr>
              <w:t> </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Скарги зберігаються. </w:t>
            </w:r>
          </w:p>
          <w:p>
            <w:pPr>
              <w:pStyle w:val="Normal"/>
              <w:rPr>
                <w:kern w:val="2"/>
                <w:sz w:val="18"/>
                <w:szCs w:val="18"/>
                <w:lang w:val="uk-UA" w:eastAsia="uk-UA"/>
              </w:rPr>
            </w:pPr>
            <w:r>
              <w:rPr>
                <w:kern w:val="2"/>
                <w:sz w:val="18"/>
                <w:szCs w:val="18"/>
                <w:lang w:val="uk-UA" w:eastAsia="uk-UA"/>
              </w:rPr>
              <w:t xml:space="preserve">Кредиторам доступні регулярні звіти щодо управління скаргами. </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b/>
                <w:bCs/>
                <w:kern w:val="2"/>
                <w:sz w:val="18"/>
                <w:szCs w:val="18"/>
                <w:lang w:val="uk-UA"/>
              </w:rPr>
              <w:t> </w:t>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b/>
                <w:b/>
                <w:bCs/>
                <w:kern w:val="2"/>
                <w:sz w:val="18"/>
                <w:szCs w:val="18"/>
                <w:lang w:val="uk-UA"/>
              </w:rPr>
            </w:pPr>
            <w:r>
              <w:rPr>
                <w:b/>
                <w:bCs/>
                <w:kern w:val="2"/>
                <w:sz w:val="18"/>
                <w:szCs w:val="18"/>
                <w:lang w:val="uk-UA"/>
              </w:rPr>
            </w:r>
          </w:p>
        </w:tc>
      </w:tr>
      <w:tr>
        <w:trPr>
          <w:trHeight w:val="20" w:hRule="atLeast"/>
        </w:trPr>
        <w:tc>
          <w:tcPr>
            <w:tcW w:w="13325" w:type="dxa"/>
            <w:gridSpan w:val="14"/>
            <w:tcBorders>
              <w:top w:val="single" w:sz="18" w:space="0" w:color="262626"/>
              <w:bottom w:val="single" w:sz="12" w:space="0" w:color="262626"/>
            </w:tcBorders>
            <w:shd w:color="auto" w:fill="B60E59" w:val="clear"/>
            <w:tcMar>
              <w:left w:w="144" w:type="dxa"/>
            </w:tcMar>
            <w:vAlign w:val="center"/>
          </w:tcPr>
          <w:p>
            <w:pPr>
              <w:pStyle w:val="Normal"/>
              <w:rPr>
                <w:b/>
                <w:b/>
                <w:bCs/>
                <w:color w:val="FFFFFF" w:themeColor="background1"/>
                <w:sz w:val="18"/>
                <w:szCs w:val="18"/>
                <w:lang w:val="uk-UA"/>
              </w:rPr>
            </w:pPr>
            <w:r>
              <w:rPr>
                <w:b/>
                <w:bCs/>
                <w:color w:val="FFFFFF" w:themeColor="background1"/>
                <w:sz w:val="18"/>
                <w:szCs w:val="18"/>
                <w:lang w:val="uk-UA"/>
              </w:rPr>
              <w:t>Рівні можливості та гендерні питання</w:t>
            </w:r>
          </w:p>
        </w:tc>
        <w:tc>
          <w:tcPr>
            <w:tcW w:w="1153" w:type="dxa"/>
            <w:gridSpan w:val="4"/>
            <w:tcBorders>
              <w:top w:val="single" w:sz="18" w:space="0" w:color="262626"/>
              <w:bottom w:val="single" w:sz="12" w:space="0" w:color="262626"/>
            </w:tcBorders>
            <w:shd w:color="auto" w:fill="B60E59" w:val="clear"/>
            <w:tcMar>
              <w:top w:w="14" w:type="dxa"/>
              <w:left w:w="43" w:type="dxa"/>
              <w:bottom w:w="14" w:type="dxa"/>
              <w:right w:w="43" w:type="dxa"/>
            </w:tcMar>
          </w:tcPr>
          <w:p>
            <w:pPr>
              <w:pStyle w:val="Normal"/>
              <w:rPr>
                <w:b/>
                <w:b/>
                <w:bCs/>
                <w:color w:val="FFFFFF" w:themeColor="background1"/>
                <w:sz w:val="18"/>
                <w:szCs w:val="18"/>
                <w:lang w:val="uk-UA"/>
              </w:rPr>
            </w:pPr>
            <w:r>
              <w:rPr>
                <w:b/>
                <w:bCs/>
                <w:color w:val="FFFFFF" w:themeColor="background1"/>
                <w:sz w:val="18"/>
                <w:szCs w:val="18"/>
                <w:lang w:val="uk-UA"/>
              </w:rPr>
            </w:r>
          </w:p>
        </w:tc>
        <w:tc>
          <w:tcPr>
            <w:tcW w:w="90" w:type="dxa"/>
            <w:tcBorders/>
            <w:shd w:fill="auto" w:val="clear"/>
            <w:tcMar>
              <w:top w:w="14" w:type="dxa"/>
              <w:left w:w="43" w:type="dxa"/>
              <w:bottom w:w="14" w:type="dxa"/>
              <w:right w:w="43" w:type="dxa"/>
            </w:tcMar>
          </w:tcPr>
          <w:p>
            <w:pPr>
              <w:pStyle w:val="Normal"/>
              <w:rPr/>
            </w:pPr>
            <w:r>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1</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Призначити одного із працівників Уповноваженим з гендерних питань (радника керівника організації, їх структурних підрозділів) відповідно до вимог Закону України «Про забезпечення рівних прав та можливостей жінок і чоловіків» від 8.09.2005 р. No 2866-IV. У цьому законі зазначено, що у разі ведення колективних переговорів колективні договори повинні передбачати покладання на одного з працівників на добровільних засадах обов'язків Уповноваженого з гендерних питань.</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Забезпечення рівних прав працівників.</w:t>
            </w:r>
          </w:p>
          <w:p>
            <w:pPr>
              <w:pStyle w:val="NormalWeb"/>
              <w:spacing w:beforeAutospacing="0" w:before="0" w:afterAutospacing="0" w:after="0"/>
              <w:rPr>
                <w:kern w:val="2"/>
                <w:sz w:val="18"/>
                <w:szCs w:val="18"/>
                <w:lang w:val="uk-UA"/>
              </w:rPr>
            </w:pPr>
            <w:r>
              <w:rPr>
                <w:kern w:val="2"/>
                <w:sz w:val="18"/>
                <w:szCs w:val="18"/>
                <w:lang w:val="uk-UA"/>
              </w:rPr>
              <w:t>Більш високий рівень залученості та лояльності співробітників.</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PR1, пункт 15, 22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Додаткові ресурси не потрібні, призначити представника управлінської команди.</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 1 травня 2025 року.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Докази призначення (наприклад, Наказ)</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rFonts w:eastAsia="Arial"/>
                <w:sz w:val="18"/>
                <w:szCs w:val="18"/>
                <w:lang w:val="uk-UA"/>
              </w:rPr>
            </w:pPr>
            <w:r>
              <w:rPr>
                <w:rFonts w:eastAsia="Arial"/>
                <w:sz w:val="18"/>
                <w:szCs w:val="18"/>
                <w:lang w:val="uk-UA"/>
              </w:rPr>
              <w:t>Термін призначення вийшов. Наказ не наданий</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2</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Запровадити або вдосконалити механізм розгляду скарг, який має включати положення щодо конфіденційних скарг та повідомлень про гендерно обумовлене насильство.</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Удосконалити механізм розгляду скарг для співробітників та Компанії</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20</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 час на організацію.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 кінця вересня 2025 року.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Запроваджені операційні процедури розгляду скарг;</w:t>
            </w:r>
          </w:p>
          <w:p>
            <w:pPr>
              <w:pStyle w:val="NormalWeb"/>
              <w:spacing w:beforeAutospacing="0" w:before="0" w:afterAutospacing="0" w:after="0"/>
              <w:rPr>
                <w:kern w:val="2"/>
                <w:sz w:val="18"/>
                <w:szCs w:val="18"/>
                <w:lang w:val="uk-UA"/>
              </w:rPr>
            </w:pPr>
            <w:r>
              <w:rPr>
                <w:kern w:val="2"/>
                <w:sz w:val="18"/>
                <w:szCs w:val="18"/>
                <w:lang w:val="uk-UA"/>
              </w:rPr>
              <w:t>Звітування про подані скарги та вжиті дії.</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rFonts w:eastAsia="Arial"/>
                <w:sz w:val="18"/>
                <w:szCs w:val="18"/>
                <w:lang w:val="uk-UA"/>
              </w:rPr>
              <w:t>Механізм розробляється</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3</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Розробляти та впроваджувати політики та процедури щодо етичної поведінки, рівності, різноманітності та інклюзивності, а саме:</w:t>
            </w:r>
          </w:p>
          <w:p>
            <w:pPr>
              <w:pStyle w:val="NormalWeb"/>
              <w:spacing w:beforeAutospacing="0" w:before="0" w:afterAutospacing="0" w:after="0"/>
              <w:ind w:left="0" w:hanging="0"/>
              <w:rPr>
                <w:kern w:val="2"/>
                <w:sz w:val="18"/>
                <w:szCs w:val="18"/>
                <w:lang w:val="uk-UA"/>
              </w:rPr>
            </w:pPr>
            <w:r>
              <w:rPr>
                <w:kern w:val="2"/>
                <w:sz w:val="18"/>
                <w:szCs w:val="18"/>
                <w:lang w:val="uk-UA"/>
              </w:rPr>
              <w:t>розробити Кодекс поведінки, який би включав спеціальний розділ про принципи гендерної рівності, різноманітності та інклюзивності; розробити процесуальні документи, які супроводжуватимуть процеси найму, навчання та просування по службі працівників з урахуванням гендерних питань;</w:t>
            </w:r>
          </w:p>
          <w:p>
            <w:pPr>
              <w:pStyle w:val="NormalWeb"/>
              <w:spacing w:beforeAutospacing="0" w:before="0" w:afterAutospacing="0" w:after="0"/>
              <w:ind w:left="0" w:hanging="0"/>
              <w:rPr>
                <w:kern w:val="2"/>
                <w:sz w:val="18"/>
                <w:szCs w:val="18"/>
                <w:lang w:val="uk-UA"/>
              </w:rPr>
            </w:pPr>
            <w:r>
              <w:rPr>
                <w:kern w:val="2"/>
                <w:sz w:val="18"/>
                <w:szCs w:val="18"/>
                <w:lang w:val="uk-UA"/>
              </w:rPr>
              <w:t>визначити обов'язки керівництва з питань різноманіття та інклюзивності.</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Рівні можливості працевлаштування, мінімізація ризиків домагань</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PR1, пункт 16, 21-22.</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 час на організацію.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 кінця липня 2025 року.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Кадрова політика, процесуальні документи та/або Кодекс поведінки Компанії, прийнятні для розгляду з боку ЄБРР.</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rFonts w:eastAsia="Arial"/>
                <w:sz w:val="18"/>
                <w:szCs w:val="18"/>
                <w:lang w:val="uk-UA"/>
              </w:rPr>
            </w:pPr>
            <w:r>
              <w:rPr>
                <w:rFonts w:eastAsia="Arial"/>
                <w:sz w:val="18"/>
                <w:szCs w:val="18"/>
                <w:lang w:val="uk-UA"/>
              </w:rPr>
              <w:t>Дані про розроблення Кодексу поведінки відсутні</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4</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Врахувати критерій гендерної рівності при прийнятті рішень, пов'язаних з працівниками.</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Рівні можливості працевлаштування.</w:t>
            </w:r>
          </w:p>
          <w:p>
            <w:pPr>
              <w:pStyle w:val="NormalWeb"/>
              <w:spacing w:beforeAutospacing="0" w:before="0" w:afterAutospacing="0" w:after="0"/>
              <w:rPr>
                <w:kern w:val="2"/>
                <w:sz w:val="18"/>
                <w:szCs w:val="18"/>
                <w:lang w:val="uk-UA"/>
              </w:rPr>
            </w:pPr>
            <w:r>
              <w:rPr>
                <w:kern w:val="2"/>
                <w:sz w:val="18"/>
                <w:szCs w:val="18"/>
                <w:lang w:val="uk-UA"/>
              </w:rPr>
              <w:t>Більш високий рівень залученості та лояльності співробітників.</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12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 час на організацію.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Реалізувати до 1 лютого 2025 року.</w:t>
            </w:r>
          </w:p>
          <w:p>
            <w:pPr>
              <w:pStyle w:val="Normal"/>
              <w:rPr>
                <w:kern w:val="2"/>
                <w:sz w:val="18"/>
                <w:szCs w:val="18"/>
                <w:lang w:val="uk-UA" w:eastAsia="uk-UA"/>
              </w:rPr>
            </w:pPr>
            <w:r>
              <w:rPr>
                <w:kern w:val="2"/>
                <w:sz w:val="18"/>
                <w:szCs w:val="18"/>
                <w:lang w:val="uk-UA" w:eastAsia="uk-UA"/>
              </w:rPr>
              <w:t>Щорічна оцінка.</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rPr>
                <w:kern w:val="2"/>
                <w:sz w:val="18"/>
                <w:szCs w:val="18"/>
                <w:lang w:val="uk-UA" w:eastAsia="uk-UA"/>
              </w:rPr>
            </w:pPr>
            <w:r>
              <w:rPr>
                <w:kern w:val="2"/>
                <w:sz w:val="18"/>
                <w:szCs w:val="18"/>
                <w:lang w:val="uk-UA" w:eastAsia="uk-UA"/>
              </w:rPr>
              <w:t>Включати дані про реорганізацію, про проведені заходи з реорганізації та їх вплив на гендерний баланс персоналу у звітність за соціальними показниками.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sz w:val="18"/>
                <w:szCs w:val="18"/>
                <w:lang w:val="uk-UA"/>
              </w:rPr>
            </w:pPr>
            <w:r>
              <w:rPr>
                <w:sz w:val="18"/>
                <w:szCs w:val="18"/>
                <w:lang w:val="uk-UA"/>
              </w:rPr>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5</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 xml:space="preserve">Налагодити регулярний збір та аналіз даних про гендерну рівність, включаючи, але не обмежуючись, показниками: </w:t>
            </w:r>
          </w:p>
          <w:p>
            <w:pPr>
              <w:pStyle w:val="NormalWeb"/>
              <w:spacing w:beforeAutospacing="0" w:before="0" w:afterAutospacing="0" w:after="0"/>
              <w:rPr>
                <w:kern w:val="2"/>
                <w:sz w:val="18"/>
                <w:szCs w:val="18"/>
                <w:lang w:val="uk-UA"/>
              </w:rPr>
            </w:pPr>
            <w:r>
              <w:rPr>
                <w:kern w:val="2"/>
                <w:sz w:val="18"/>
                <w:szCs w:val="18"/>
                <w:lang w:val="uk-UA"/>
              </w:rPr>
              <w:t xml:space="preserve">кількість працівників, середня заробітна плата, гендерний розрив в оплаті праці, години навчання, працівники, які отримали оцінки ефективності та були підвищені за статтю та категоріями працівників (наприклад, як у GRI, SASB тощо). </w:t>
            </w:r>
          </w:p>
          <w:p>
            <w:pPr>
              <w:pStyle w:val="NormalWeb"/>
              <w:spacing w:beforeAutospacing="0" w:before="0" w:afterAutospacing="0" w:after="0"/>
              <w:rPr>
                <w:kern w:val="2"/>
                <w:sz w:val="18"/>
                <w:szCs w:val="18"/>
                <w:lang w:val="uk-UA"/>
              </w:rPr>
            </w:pPr>
            <w:r>
              <w:rPr>
                <w:kern w:val="2"/>
                <w:sz w:val="18"/>
                <w:szCs w:val="18"/>
                <w:lang w:val="uk-UA"/>
              </w:rPr>
              <w:t>Відповідні дані та результати аналізу повинні використовуватися для вирішення питань рівності, різноманітності та інклюзивності і можуть бути використані для публічного звітування.</w:t>
            </w:r>
          </w:p>
          <w:p>
            <w:pPr>
              <w:pStyle w:val="NormalWeb"/>
              <w:spacing w:beforeAutospacing="0" w:before="0" w:afterAutospacing="0" w:after="0"/>
              <w:rPr>
                <w:kern w:val="2"/>
                <w:sz w:val="18"/>
                <w:szCs w:val="18"/>
                <w:lang w:val="uk-UA"/>
              </w:rPr>
            </w:pPr>
            <w:r>
              <w:rPr>
                <w:kern w:val="2"/>
                <w:sz w:val="18"/>
                <w:szCs w:val="18"/>
                <w:lang w:val="uk-UA"/>
              </w:rPr>
              <w:t>При оприлюдненні соціальних даних (показники щодо гендерної структури працівників, навчання працівників, заробітних плат чоловіків та жінок за категоріями працівників тощо) демонструють проактивний підхід компанії до просування рівних можливостей для працівників, включаючи вирівнювання заробітних плат для чоловіків та жінок. Гендерний розрив в оплаті праці в першу чергу пов'язаний з додатковими виплатами (за понаднормову роботу, клас водійських прав тощо). Тому компанія повинна просувати однакові можливості як для професійного розвитку, так і для застосування додаткових виплат.</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Збір та аналіз соціальної інформації для майбутнього оприлюднення.</w:t>
            </w:r>
          </w:p>
          <w:p>
            <w:pPr>
              <w:pStyle w:val="NormalWeb"/>
              <w:spacing w:beforeAutospacing="0" w:before="0" w:afterAutospacing="0" w:after="0"/>
              <w:rPr>
                <w:kern w:val="2"/>
                <w:sz w:val="18"/>
                <w:szCs w:val="18"/>
                <w:lang w:val="uk-UA"/>
              </w:rPr>
            </w:pPr>
            <w:r>
              <w:rPr>
                <w:kern w:val="2"/>
                <w:sz w:val="18"/>
                <w:szCs w:val="18"/>
                <w:lang w:val="uk-UA"/>
              </w:rPr>
              <w:t>Забезпечення рівних прав працівників.</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6.</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PR10, пункт 16</w:t>
            </w:r>
          </w:p>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12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 час на організацію, підтримка проектним менеджментом.</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Реалізувати до кінця червня 2025 року.</w:t>
            </w:r>
          </w:p>
          <w:p>
            <w:pPr>
              <w:pStyle w:val="Normal"/>
              <w:rPr>
                <w:kern w:val="2"/>
                <w:sz w:val="18"/>
                <w:szCs w:val="18"/>
                <w:lang w:val="uk-UA" w:eastAsia="uk-UA"/>
              </w:rPr>
            </w:pPr>
            <w:r>
              <w:rPr>
                <w:kern w:val="2"/>
                <w:sz w:val="18"/>
                <w:szCs w:val="18"/>
                <w:lang w:val="uk-UA" w:eastAsia="uk-UA"/>
              </w:rPr>
              <w:t>Проводити щорічно</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Зібрана та консолідована інформація, пов'язана із соціальними питаннями.</w:t>
            </w:r>
          </w:p>
          <w:p>
            <w:pPr>
              <w:pStyle w:val="NormalWeb"/>
              <w:spacing w:beforeAutospacing="0" w:before="0" w:afterAutospacing="0" w:after="0"/>
              <w:rPr>
                <w:kern w:val="2"/>
                <w:sz w:val="18"/>
                <w:szCs w:val="18"/>
                <w:lang w:val="uk-UA"/>
              </w:rPr>
            </w:pPr>
            <w:r>
              <w:rPr>
                <w:kern w:val="2"/>
                <w:sz w:val="18"/>
                <w:szCs w:val="18"/>
                <w:lang w:val="uk-UA"/>
              </w:rPr>
              <w:t>Включені дані про основні соціальні показники до періодичної звітності.</w:t>
            </w:r>
          </w:p>
          <w:p>
            <w:pPr>
              <w:pStyle w:val="Normal"/>
              <w:rPr>
                <w:kern w:val="2"/>
                <w:sz w:val="18"/>
                <w:szCs w:val="18"/>
                <w:lang w:val="uk-UA" w:eastAsia="uk-UA"/>
              </w:rPr>
            </w:pPr>
            <w:r>
              <w:rPr>
                <w:kern w:val="2"/>
                <w:sz w:val="18"/>
                <w:szCs w:val="18"/>
                <w:lang w:val="uk-UA" w:eastAsia="uk-UA"/>
              </w:rPr>
              <w:t>Продемонстровані покращення рівних можливостей для чоловіків і жінок.</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rFonts w:eastAsia="Arial"/>
                <w:sz w:val="18"/>
                <w:szCs w:val="18"/>
                <w:lang w:val="uk-UA"/>
              </w:rPr>
            </w:pPr>
            <w:r>
              <w:rPr>
                <w:rFonts w:eastAsia="Arial"/>
                <w:sz w:val="18"/>
                <w:szCs w:val="18"/>
                <w:lang w:val="uk-UA"/>
              </w:rPr>
              <w:t>Надана ретроспективна таблиця (за 5 років) дезагрегованих за статтю даних про персонал, крім кадрового резерву та підвищення кваліфікації</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6</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Застосовувати проактивний підхід, щоб створити рівні можливості працевлаштування, коригуючи оголошення про вакансії (насамперед водіїв), щоб дати зрозуміти, що жінки та чоловіки однаково запрошуються подавати заявки на посаду. Супроводжувати це неупередженим відбором кандидатів за об'єктивними критеріями, визначеними для конкретної посади.</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Рівні можливості працевлаштування.</w:t>
            </w:r>
          </w:p>
          <w:p>
            <w:pPr>
              <w:pStyle w:val="NormalWeb"/>
              <w:spacing w:beforeAutospacing="0" w:before="0" w:afterAutospacing="0" w:after="0"/>
              <w:rPr>
                <w:kern w:val="2"/>
                <w:sz w:val="18"/>
                <w:szCs w:val="18"/>
                <w:lang w:val="uk-UA"/>
              </w:rPr>
            </w:pPr>
            <w:r>
              <w:rPr>
                <w:kern w:val="2"/>
                <w:sz w:val="18"/>
                <w:szCs w:val="18"/>
                <w:lang w:val="uk-UA"/>
              </w:rPr>
              <w:t>Більш високий рівень залученості та лояльності співробітників. Стати більш привабливим роботодавцем.</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12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Додаткові ресурси не потрібні, внести виправлення в існуючий підхід до створення оголошень про вакансії</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До 1 червня 2025 року</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0"/>
              <w:rPr>
                <w:kern w:val="2"/>
                <w:sz w:val="18"/>
                <w:szCs w:val="18"/>
                <w:lang w:val="uk-UA"/>
              </w:rPr>
            </w:pPr>
            <w:r>
              <w:rPr>
                <w:kern w:val="2"/>
                <w:sz w:val="18"/>
                <w:szCs w:val="18"/>
                <w:lang w:val="uk-UA"/>
              </w:rPr>
              <w:t>Оновлені тексти оголошень про роботу.</w:t>
            </w:r>
          </w:p>
          <w:p>
            <w:pPr>
              <w:pStyle w:val="NormalWeb"/>
              <w:spacing w:beforeAutospacing="0" w:before="0" w:afterAutospacing="0" w:after="0"/>
              <w:rPr>
                <w:kern w:val="2"/>
                <w:sz w:val="18"/>
                <w:szCs w:val="18"/>
                <w:lang w:val="uk-UA"/>
              </w:rPr>
            </w:pPr>
            <w:r>
              <w:rPr>
                <w:kern w:val="2"/>
                <w:sz w:val="18"/>
                <w:szCs w:val="18"/>
                <w:lang w:val="uk-UA"/>
              </w:rPr>
              <w:t>Оновлена політика підбору персоналу.</w:t>
            </w:r>
          </w:p>
          <w:p>
            <w:pPr>
              <w:pStyle w:val="NormalWeb"/>
              <w:spacing w:beforeAutospacing="0" w:before="0" w:afterAutospacing="0" w:after="0"/>
              <w:rPr>
                <w:kern w:val="2"/>
                <w:sz w:val="18"/>
                <w:szCs w:val="18"/>
                <w:lang w:val="uk-UA"/>
              </w:rPr>
            </w:pPr>
            <w:r>
              <w:rPr>
                <w:kern w:val="2"/>
                <w:sz w:val="18"/>
                <w:szCs w:val="18"/>
                <w:lang w:val="uk-UA"/>
              </w:rPr>
              <w:t>Включені дані про персонал з розбивкою за статтю у звітність про соціальні показники.</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rFonts w:eastAsia="Arial"/>
                <w:sz w:val="18"/>
                <w:szCs w:val="18"/>
                <w:lang w:val="uk-UA"/>
              </w:rPr>
            </w:pPr>
            <w:r>
              <w:rPr>
                <w:rFonts w:eastAsia="Arial"/>
                <w:sz w:val="18"/>
                <w:szCs w:val="18"/>
                <w:lang w:val="uk-UA"/>
              </w:rPr>
              <w:t>Оголошення про вакансії гендерно «сліпі»</w:t>
            </w:r>
          </w:p>
        </w:tc>
      </w:tr>
      <w:tr>
        <w:trPr>
          <w:trHeight w:val="20" w:hRule="atLeast"/>
        </w:trPr>
        <w:tc>
          <w:tcPr>
            <w:tcW w:w="361" w:type="dxa"/>
            <w:tcBorders>
              <w:top w:val="single" w:sz="6" w:space="0" w:color="7F7F7F"/>
              <w:bottom w:val="single" w:sz="6" w:space="0" w:color="7F7F7F"/>
              <w:right w:val="dashSmallGap" w:sz="8" w:space="0" w:color="7F7F7F"/>
            </w:tcBorders>
            <w:shd w:fill="auto" w:val="clear"/>
            <w:tcMar>
              <w:left w:w="43" w:type="dxa"/>
            </w:tcMar>
          </w:tcPr>
          <w:p>
            <w:pPr>
              <w:pStyle w:val="Normal"/>
              <w:rPr>
                <w:sz w:val="18"/>
                <w:szCs w:val="18"/>
                <w:lang w:val="uk-UA"/>
              </w:rPr>
            </w:pPr>
            <w:r>
              <w:rPr>
                <w:rFonts w:eastAsia="" w:eastAsiaTheme="minorEastAsia"/>
                <w:kern w:val="2"/>
                <w:sz w:val="18"/>
                <w:szCs w:val="18"/>
                <w:lang w:val="uk-UA"/>
              </w:rPr>
              <w:t>7</w:t>
            </w:r>
          </w:p>
        </w:tc>
        <w:tc>
          <w:tcPr>
            <w:tcW w:w="2464"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160"/>
              <w:rPr>
                <w:sz w:val="18"/>
                <w:szCs w:val="18"/>
                <w:lang w:val="uk-UA"/>
              </w:rPr>
            </w:pPr>
            <w:r>
              <w:rPr>
                <w:rFonts w:eastAsia="" w:eastAsiaTheme="minorEastAsia"/>
                <w:kern w:val="2"/>
                <w:sz w:val="18"/>
                <w:szCs w:val="18"/>
                <w:lang w:val="uk-UA"/>
              </w:rPr>
              <w:t>Активно заохочувати до участі у можливостях навчання для покращення інклюзивності та рівності серед працівників, зокрема:</w:t>
            </w:r>
          </w:p>
          <w:p>
            <w:pPr>
              <w:pStyle w:val="ListParagraph"/>
              <w:numPr>
                <w:ilvl w:val="0"/>
                <w:numId w:val="11"/>
              </w:numPr>
              <w:suppressAutoHyphens w:val="false"/>
              <w:spacing w:lineRule="auto" w:line="240" w:before="0" w:after="0"/>
              <w:ind w:left="0" w:hanging="0"/>
              <w:rPr>
                <w:rFonts w:ascii="Times New Roman" w:hAnsi="Times New Roman" w:cs="Times New Roman"/>
                <w:sz w:val="18"/>
                <w:szCs w:val="18"/>
                <w:lang w:val="uk-UA"/>
              </w:rPr>
            </w:pPr>
            <w:r>
              <w:rPr>
                <w:rFonts w:eastAsia="" w:cs="Times New Roman" w:ascii="Times New Roman" w:hAnsi="Times New Roman" w:eastAsiaTheme="minorEastAsia"/>
                <w:kern w:val="2"/>
                <w:sz w:val="18"/>
                <w:szCs w:val="18"/>
                <w:lang w:val="uk-UA"/>
              </w:rPr>
              <w:t>Сприяти рівній участі жінок і чоловіків у підготовці водіїв та професійному розвитку.</w:t>
            </w:r>
          </w:p>
          <w:p>
            <w:pPr>
              <w:pStyle w:val="ListParagraph"/>
              <w:numPr>
                <w:ilvl w:val="0"/>
                <w:numId w:val="11"/>
              </w:numPr>
              <w:suppressAutoHyphens w:val="false"/>
              <w:spacing w:lineRule="auto" w:line="240" w:before="0" w:after="0"/>
              <w:ind w:left="0" w:hanging="0"/>
              <w:rPr>
                <w:rFonts w:ascii="Times New Roman" w:hAnsi="Times New Roman" w:cs="Times New Roman"/>
                <w:sz w:val="18"/>
                <w:szCs w:val="18"/>
                <w:lang w:val="uk-UA"/>
              </w:rPr>
            </w:pPr>
            <w:r>
              <w:rPr>
                <w:rFonts w:eastAsia="" w:cs="Times New Roman" w:ascii="Times New Roman" w:hAnsi="Times New Roman" w:eastAsiaTheme="minorEastAsia"/>
                <w:kern w:val="2"/>
                <w:sz w:val="18"/>
                <w:szCs w:val="18"/>
                <w:lang w:val="uk-UA"/>
              </w:rPr>
              <w:t>Кваліфікація працівників має прямий вплив на виплату премій, тому жінки та чоловіки повинні брати участь у таких можливостях навчання однаково активно.</w:t>
            </w:r>
          </w:p>
          <w:p>
            <w:pPr>
              <w:pStyle w:val="Normal"/>
              <w:rPr>
                <w:sz w:val="18"/>
                <w:szCs w:val="18"/>
                <w:lang w:val="uk-UA"/>
              </w:rPr>
            </w:pPr>
            <w:r>
              <w:rPr>
                <w:rFonts w:eastAsia="" w:eastAsiaTheme="minorEastAsia"/>
                <w:kern w:val="2"/>
                <w:sz w:val="18"/>
                <w:szCs w:val="18"/>
                <w:lang w:val="uk-UA"/>
              </w:rPr>
              <w:t>Провести спеціальне навчання для працівників на теми прав людини, рівності, різноманітності та інклюзивності (після прийняття нових політик). Попередній список тем для висвітлення: важливість інклюзивності, різноманітності та рівності на робочому місці; положення нових відповідних політик, запроваджених в компанії; як збирати, аналізувати та звітувати про соціальні дані.</w:t>
            </w:r>
          </w:p>
        </w:tc>
        <w:tc>
          <w:tcPr>
            <w:tcW w:w="2125"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160"/>
              <w:rPr>
                <w:sz w:val="18"/>
                <w:szCs w:val="18"/>
                <w:lang w:val="uk-UA"/>
              </w:rPr>
            </w:pPr>
            <w:r>
              <w:rPr>
                <w:rFonts w:eastAsia="" w:eastAsiaTheme="minorEastAsia"/>
                <w:kern w:val="2"/>
                <w:sz w:val="18"/>
                <w:szCs w:val="18"/>
                <w:lang w:val="uk-UA"/>
              </w:rPr>
              <w:t>Створити середовище рівних можливостей.</w:t>
            </w:r>
          </w:p>
          <w:p>
            <w:pPr>
              <w:pStyle w:val="Normal"/>
              <w:rPr>
                <w:sz w:val="18"/>
                <w:szCs w:val="18"/>
                <w:lang w:val="uk-UA"/>
              </w:rPr>
            </w:pPr>
            <w:r>
              <w:rPr>
                <w:rFonts w:eastAsia="" w:eastAsiaTheme="minorEastAsia"/>
                <w:kern w:val="2"/>
                <w:sz w:val="18"/>
                <w:szCs w:val="18"/>
                <w:lang w:val="uk-UA"/>
              </w:rPr>
              <w:t>Більш високий рівень залученості та лояльності співробітників.</w:t>
            </w:r>
          </w:p>
        </w:tc>
        <w:tc>
          <w:tcPr>
            <w:tcW w:w="1418"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PR2, пункт 12</w:t>
            </w:r>
          </w:p>
        </w:tc>
        <w:tc>
          <w:tcPr>
            <w:tcW w:w="2271" w:type="dxa"/>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
              <w:numPr>
                <w:ilvl w:val="0"/>
                <w:numId w:val="8"/>
              </w:numPr>
              <w:tabs>
                <w:tab w:val="clear" w:pos="708"/>
                <w:tab w:val="left" w:pos="366" w:leader="none"/>
              </w:tabs>
              <w:suppressAutoHyphens w:val="false"/>
              <w:spacing w:before="0" w:after="20"/>
              <w:ind w:left="83" w:hanging="0"/>
              <w:rPr>
                <w:sz w:val="18"/>
                <w:szCs w:val="18"/>
                <w:lang w:val="uk-UA"/>
              </w:rPr>
            </w:pPr>
            <w:r>
              <w:rPr>
                <w:sz w:val="18"/>
                <w:szCs w:val="18"/>
                <w:lang w:val="uk-UA"/>
              </w:rPr>
              <w:t>Внутрішні ресурси, час на організацію.</w:t>
            </w:r>
          </w:p>
        </w:tc>
        <w:tc>
          <w:tcPr>
            <w:tcW w:w="1504"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tabs>
                <w:tab w:val="clear" w:pos="708"/>
                <w:tab w:val="left" w:pos="1386" w:leader="none"/>
              </w:tabs>
              <w:spacing w:beforeAutospacing="0" w:before="0" w:afterAutospacing="0" w:after="160"/>
              <w:rPr>
                <w:sz w:val="18"/>
                <w:szCs w:val="18"/>
                <w:lang w:val="uk-UA"/>
              </w:rPr>
            </w:pPr>
            <w:r>
              <w:rPr>
                <w:rFonts w:eastAsia="" w:eastAsiaTheme="minorEastAsia"/>
                <w:kern w:val="2"/>
                <w:sz w:val="18"/>
                <w:szCs w:val="18"/>
                <w:lang w:val="uk-UA"/>
              </w:rPr>
              <w:t>Щонайменше 50% працівниць, які до кінця 2024 року пройшли курси з підвищення кваліфікації та/або тренінги з питань захисту прав людини, рівності та інклюзії, етичної поведінки.</w:t>
            </w:r>
          </w:p>
          <w:p>
            <w:pPr>
              <w:pStyle w:val="NormalWeb"/>
              <w:tabs>
                <w:tab w:val="clear" w:pos="708"/>
                <w:tab w:val="left" w:pos="1386" w:leader="none"/>
              </w:tabs>
              <w:spacing w:beforeAutospacing="0" w:before="0" w:afterAutospacing="0" w:after="160"/>
              <w:rPr>
                <w:sz w:val="18"/>
                <w:szCs w:val="18"/>
                <w:lang w:val="uk-UA"/>
              </w:rPr>
            </w:pPr>
            <w:r>
              <w:rPr>
                <w:rFonts w:eastAsia="" w:eastAsiaTheme="minorEastAsia"/>
                <w:kern w:val="2"/>
                <w:sz w:val="18"/>
                <w:szCs w:val="18"/>
                <w:lang w:val="uk-UA"/>
              </w:rPr>
              <w:t>Провести перші тренінги з прав людини, рівності, різноманіття та інклюзивності до кінця червня 2024 року (після впровадження нових політик).</w:t>
            </w:r>
          </w:p>
          <w:p>
            <w:pPr>
              <w:pStyle w:val="Normal"/>
              <w:rPr>
                <w:sz w:val="18"/>
                <w:szCs w:val="18"/>
                <w:lang w:val="uk-UA"/>
              </w:rPr>
            </w:pPr>
            <w:r>
              <w:rPr>
                <w:rFonts w:eastAsia="" w:eastAsiaTheme="minorEastAsia"/>
                <w:kern w:val="2"/>
                <w:sz w:val="18"/>
                <w:szCs w:val="18"/>
                <w:lang w:val="uk-UA"/>
              </w:rPr>
              <w:t>Регулярно повторювати тренінги з прав людини для нових співробітників.</w:t>
            </w:r>
          </w:p>
        </w:tc>
        <w:tc>
          <w:tcPr>
            <w:tcW w:w="2041" w:type="dxa"/>
            <w:gridSpan w:val="2"/>
            <w:tcBorders>
              <w:top w:val="single" w:sz="6" w:space="0" w:color="7F7F7F"/>
              <w:left w:val="dashSmallGap" w:sz="8" w:space="0" w:color="7F7F7F"/>
              <w:bottom w:val="single" w:sz="6" w:space="0" w:color="7F7F7F"/>
              <w:right w:val="dashSmallGap" w:sz="8" w:space="0" w:color="7F7F7F"/>
            </w:tcBorders>
            <w:shd w:fill="auto" w:val="clear"/>
            <w:tcMar>
              <w:left w:w="43" w:type="dxa"/>
            </w:tcMar>
          </w:tcPr>
          <w:p>
            <w:pPr>
              <w:pStyle w:val="NormalWeb"/>
              <w:spacing w:beforeAutospacing="0" w:before="0" w:afterAutospacing="0" w:after="160"/>
              <w:rPr>
                <w:sz w:val="18"/>
                <w:szCs w:val="18"/>
                <w:lang w:val="uk-UA"/>
              </w:rPr>
            </w:pPr>
            <w:r>
              <w:rPr>
                <w:rFonts w:eastAsia="" w:eastAsiaTheme="minorEastAsia"/>
                <w:kern w:val="2"/>
                <w:sz w:val="18"/>
                <w:szCs w:val="18"/>
                <w:lang w:val="uk-UA"/>
              </w:rPr>
              <w:t>Включати дані про план навчання та проведені тренінги до періодичної звітності.</w:t>
            </w:r>
          </w:p>
          <w:p>
            <w:pPr>
              <w:pStyle w:val="Normal"/>
              <w:rPr>
                <w:sz w:val="18"/>
                <w:szCs w:val="18"/>
                <w:lang w:val="uk-UA"/>
              </w:rPr>
            </w:pPr>
            <w:r>
              <w:rPr>
                <w:rFonts w:eastAsia="" w:eastAsiaTheme="minorEastAsia"/>
                <w:kern w:val="2"/>
                <w:sz w:val="18"/>
                <w:szCs w:val="18"/>
                <w:lang w:val="uk-UA"/>
              </w:rPr>
              <w:t>Щорічні звіти про виконані роботи (наприклад, сертифікати, реєстри учасників тощо).</w:t>
            </w:r>
          </w:p>
        </w:tc>
        <w:tc>
          <w:tcPr>
            <w:tcW w:w="1134" w:type="dxa"/>
            <w:gridSpan w:val="3"/>
            <w:tcBorders>
              <w:top w:val="single" w:sz="6" w:space="0" w:color="7F7F7F"/>
              <w:left w:val="dashSmallGap" w:sz="8" w:space="0" w:color="7F7F7F"/>
              <w:bottom w:val="single" w:sz="6" w:space="0" w:color="7F7F7F"/>
            </w:tcBorders>
            <w:shd w:fill="auto" w:val="clear"/>
            <w:tcMar>
              <w:left w:w="43" w:type="dxa"/>
            </w:tcMar>
          </w:tcPr>
          <w:p>
            <w:pPr>
              <w:pStyle w:val="Normal"/>
              <w:rPr>
                <w:sz w:val="18"/>
                <w:szCs w:val="18"/>
                <w:lang w:val="uk-UA"/>
              </w:rPr>
            </w:pPr>
            <w:r>
              <w:rPr>
                <w:sz w:val="18"/>
                <w:szCs w:val="18"/>
                <w:lang w:val="uk-UA"/>
              </w:rPr>
            </w:r>
          </w:p>
        </w:tc>
        <w:tc>
          <w:tcPr>
            <w:tcW w:w="1250" w:type="dxa"/>
            <w:gridSpan w:val="6"/>
            <w:tcBorders>
              <w:top w:val="single" w:sz="6" w:space="0" w:color="7F7F7F"/>
              <w:left w:val="dashSmallGap" w:sz="8" w:space="0" w:color="7F7F7F"/>
              <w:bottom w:val="single" w:sz="6" w:space="0" w:color="7F7F7F"/>
            </w:tcBorders>
            <w:shd w:fill="auto" w:val="clear"/>
            <w:tcMar>
              <w:top w:w="14" w:type="dxa"/>
              <w:left w:w="43" w:type="dxa"/>
              <w:bottom w:w="14" w:type="dxa"/>
              <w:right w:w="43" w:type="dxa"/>
            </w:tcMar>
          </w:tcPr>
          <w:p>
            <w:pPr>
              <w:pStyle w:val="Normal"/>
              <w:rPr>
                <w:rFonts w:eastAsia="Arial"/>
                <w:sz w:val="18"/>
                <w:szCs w:val="18"/>
                <w:lang w:val="uk-UA"/>
              </w:rPr>
            </w:pPr>
            <w:r>
              <w:rPr>
                <w:rFonts w:eastAsia="Arial"/>
                <w:sz w:val="18"/>
                <w:szCs w:val="18"/>
                <w:lang w:val="uk-UA"/>
              </w:rPr>
              <w:t>План навчання щодо гендерних питань не наданий</w:t>
            </w:r>
          </w:p>
        </w:tc>
      </w:tr>
    </w:tbl>
    <w:p>
      <w:pPr>
        <w:sectPr>
          <w:headerReference w:type="default" r:id="rId4"/>
          <w:footerReference w:type="default" r:id="rId5"/>
          <w:footnotePr>
            <w:numFmt w:val="decimal"/>
          </w:footnotePr>
          <w:type w:val="nextPage"/>
          <w:pgSz w:orient="landscape" w:w="16838" w:h="11906"/>
          <w:pgMar w:left="1134" w:right="1134" w:header="720" w:top="1134" w:footer="709" w:bottom="1134" w:gutter="0"/>
          <w:pgNumType w:fmt="decimal"/>
          <w:formProt w:val="false"/>
          <w:textDirection w:val="lrTb"/>
          <w:docGrid w:type="default" w:linePitch="600" w:charSpace="32768"/>
        </w:sectPr>
        <w:pStyle w:val="Normal"/>
        <w:jc w:val="right"/>
        <w:rPr>
          <w:sz w:val="22"/>
          <w:szCs w:val="22"/>
          <w:lang w:val="uk-UA"/>
        </w:rPr>
      </w:pPr>
      <w:r>
        <w:rPr>
          <w:sz w:val="22"/>
          <w:szCs w:val="22"/>
          <w:lang w:val="uk-UA"/>
        </w:rPr>
      </w:r>
    </w:p>
    <w:p>
      <w:pPr>
        <w:pStyle w:val="8"/>
        <w:jc w:val="right"/>
        <w:rPr>
          <w:sz w:val="20"/>
          <w:szCs w:val="20"/>
          <w:lang w:val="uk-UA"/>
        </w:rPr>
      </w:pPr>
      <w:r>
        <w:rPr>
          <w:sz w:val="22"/>
          <w:szCs w:val="22"/>
          <w:lang w:val="uk-UA"/>
        </w:rPr>
        <w:t>Додаток</w:t>
      </w:r>
      <w:r>
        <w:rPr>
          <w:sz w:val="22"/>
          <w:szCs w:val="22"/>
          <w:lang w:val="ru-RU"/>
        </w:rPr>
        <w:t xml:space="preserve"> </w:t>
      </w:r>
      <w:r>
        <w:rPr>
          <w:sz w:val="22"/>
          <w:szCs w:val="22"/>
          <w:lang w:val="uk-UA"/>
        </w:rPr>
        <w:t>2</w:t>
      </w:r>
    </w:p>
    <w:p>
      <w:pPr>
        <w:pStyle w:val="Normal"/>
        <w:jc w:val="center"/>
        <w:rPr>
          <w:b/>
          <w:b/>
          <w:bCs/>
          <w:sz w:val="22"/>
          <w:szCs w:val="22"/>
          <w:lang w:val="uk-UA"/>
        </w:rPr>
      </w:pPr>
      <w:r>
        <w:rPr>
          <w:b/>
          <w:bCs/>
          <w:sz w:val="22"/>
          <w:szCs w:val="22"/>
          <w:lang w:val="uk-UA"/>
        </w:rPr>
        <w:t xml:space="preserve">Акт складений за результатами проведення плановою (позапланового) заходу державного нагляду (перевірки) щодо додержання вимог законодавства у сферах охорони прані, промислової безпеки </w:t>
      </w:r>
    </w:p>
    <w:p>
      <w:pPr>
        <w:pStyle w:val="Normal"/>
        <w:suppressAutoHyphens w:val="false"/>
        <w:rPr/>
      </w:pPr>
      <w:r>
        <w:rPr/>
        <w:drawing>
          <wp:inline distT="0" distB="0" distL="0" distR="0">
            <wp:extent cx="5767705" cy="816292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noChangeArrowheads="1"/>
                    </pic:cNvPicPr>
                  </pic:nvPicPr>
                  <pic:blipFill>
                    <a:blip r:embed="rId6"/>
                    <a:stretch>
                      <a:fillRect/>
                    </a:stretch>
                  </pic:blipFill>
                  <pic:spPr bwMode="auto">
                    <a:xfrm>
                      <a:off x="0" y="0"/>
                      <a:ext cx="5767705" cy="8162925"/>
                    </a:xfrm>
                    <a:prstGeom prst="rect">
                      <a:avLst/>
                    </a:prstGeom>
                  </pic:spPr>
                </pic:pic>
              </a:graphicData>
            </a:graphic>
          </wp:inline>
        </w:drawing>
      </w:r>
      <w:r>
        <w:rPr/>
        <w:t xml:space="preserve"> </w:t>
      </w:r>
      <w:r>
        <w:rPr/>
        <w:drawing>
          <wp:inline distT="0" distB="0" distL="0" distR="0">
            <wp:extent cx="6120130" cy="8661400"/>
            <wp:effectExtent l="0" t="0" r="0" b="0"/>
            <wp:docPr id="2" name="Зображення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браження1" descr=""/>
                    <pic:cNvPicPr>
                      <a:picLocks noChangeAspect="1" noChangeArrowheads="1"/>
                    </pic:cNvPicPr>
                  </pic:nvPicPr>
                  <pic:blipFill>
                    <a:blip r:embed="rId7"/>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3" name="Зображення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браження2" descr=""/>
                    <pic:cNvPicPr>
                      <a:picLocks noChangeAspect="1" noChangeArrowheads="1"/>
                    </pic:cNvPicPr>
                  </pic:nvPicPr>
                  <pic:blipFill>
                    <a:blip r:embed="rId8"/>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4" name="Зображення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браження3" descr=""/>
                    <pic:cNvPicPr>
                      <a:picLocks noChangeAspect="1" noChangeArrowheads="1"/>
                    </pic:cNvPicPr>
                  </pic:nvPicPr>
                  <pic:blipFill>
                    <a:blip r:embed="rId9"/>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5" name="Зображення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браження4" descr=""/>
                    <pic:cNvPicPr>
                      <a:picLocks noChangeAspect="1" noChangeArrowheads="1"/>
                    </pic:cNvPicPr>
                  </pic:nvPicPr>
                  <pic:blipFill>
                    <a:blip r:embed="rId10"/>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6" name="Зображення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5" descr=""/>
                    <pic:cNvPicPr>
                      <a:picLocks noChangeAspect="1" noChangeArrowheads="1"/>
                    </pic:cNvPicPr>
                  </pic:nvPicPr>
                  <pic:blipFill>
                    <a:blip r:embed="rId11"/>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7" name="Зображення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Зображення6" descr=""/>
                    <pic:cNvPicPr>
                      <a:picLocks noChangeAspect="1" noChangeArrowheads="1"/>
                    </pic:cNvPicPr>
                  </pic:nvPicPr>
                  <pic:blipFill>
                    <a:blip r:embed="rId12"/>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8" name="Зображення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браження7" descr=""/>
                    <pic:cNvPicPr>
                      <a:picLocks noChangeAspect="1" noChangeArrowheads="1"/>
                    </pic:cNvPicPr>
                  </pic:nvPicPr>
                  <pic:blipFill>
                    <a:blip r:embed="rId13"/>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9" name="Зображення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браження8" descr=""/>
                    <pic:cNvPicPr>
                      <a:picLocks noChangeAspect="1" noChangeArrowheads="1"/>
                    </pic:cNvPicPr>
                  </pic:nvPicPr>
                  <pic:blipFill>
                    <a:blip r:embed="rId14"/>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0" name="Зображення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браження9" descr=""/>
                    <pic:cNvPicPr>
                      <a:picLocks noChangeAspect="1" noChangeArrowheads="1"/>
                    </pic:cNvPicPr>
                  </pic:nvPicPr>
                  <pic:blipFill>
                    <a:blip r:embed="rId15"/>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1" name="Зображення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ображення10" descr=""/>
                    <pic:cNvPicPr>
                      <a:picLocks noChangeAspect="1" noChangeArrowheads="1"/>
                    </pic:cNvPicPr>
                  </pic:nvPicPr>
                  <pic:blipFill>
                    <a:blip r:embed="rId16"/>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2" name="Зображення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ображення11" descr=""/>
                    <pic:cNvPicPr>
                      <a:picLocks noChangeAspect="1" noChangeArrowheads="1"/>
                    </pic:cNvPicPr>
                  </pic:nvPicPr>
                  <pic:blipFill>
                    <a:blip r:embed="rId17"/>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3" name="Зображення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браження12" descr=""/>
                    <pic:cNvPicPr>
                      <a:picLocks noChangeAspect="1" noChangeArrowheads="1"/>
                    </pic:cNvPicPr>
                  </pic:nvPicPr>
                  <pic:blipFill>
                    <a:blip r:embed="rId18"/>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4" name="Зображення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ображення13" descr=""/>
                    <pic:cNvPicPr>
                      <a:picLocks noChangeAspect="1" noChangeArrowheads="1"/>
                    </pic:cNvPicPr>
                  </pic:nvPicPr>
                  <pic:blipFill>
                    <a:blip r:embed="rId19"/>
                    <a:stretch>
                      <a:fillRect/>
                    </a:stretch>
                  </pic:blipFill>
                  <pic:spPr bwMode="auto">
                    <a:xfrm>
                      <a:off x="0" y="0"/>
                      <a:ext cx="6120130" cy="8661400"/>
                    </a:xfrm>
                    <a:prstGeom prst="rect">
                      <a:avLst/>
                    </a:prstGeom>
                  </pic:spPr>
                </pic:pic>
              </a:graphicData>
            </a:graphic>
          </wp:inline>
        </w:drawing>
      </w:r>
    </w:p>
    <w:p>
      <w:pPr>
        <w:pStyle w:val="Normal"/>
        <w:suppressAutoHyphens w:val="false"/>
        <w:rPr/>
      </w:pPr>
      <w:r>
        <w:rPr/>
      </w:r>
      <w:r>
        <w:br w:type="page"/>
      </w:r>
    </w:p>
    <w:p>
      <w:pPr>
        <w:pStyle w:val="8"/>
        <w:jc w:val="right"/>
        <w:rPr>
          <w:sz w:val="20"/>
          <w:szCs w:val="20"/>
          <w:lang w:val="uk-UA"/>
        </w:rPr>
      </w:pPr>
      <w:r>
        <w:rPr>
          <w:sz w:val="22"/>
          <w:szCs w:val="22"/>
          <w:lang w:val="ru-RU"/>
        </w:rPr>
        <w:t xml:space="preserve">Додаток </w:t>
      </w:r>
      <w:r>
        <w:rPr>
          <w:sz w:val="22"/>
          <w:szCs w:val="22"/>
          <w:lang w:val="uk-UA"/>
        </w:rPr>
        <w:t>3</w:t>
      </w:r>
    </w:p>
    <w:p>
      <w:pPr>
        <w:pStyle w:val="Normal"/>
        <w:suppressAutoHyphens w:val="false"/>
        <w:jc w:val="center"/>
        <w:rPr>
          <w:b/>
          <w:b/>
          <w:bCs/>
          <w:sz w:val="22"/>
          <w:szCs w:val="22"/>
          <w:lang w:val="uk-UA"/>
        </w:rPr>
      </w:pPr>
      <w:r>
        <w:rPr>
          <w:b/>
          <w:bCs/>
          <w:sz w:val="22"/>
          <w:szCs w:val="22"/>
          <w:lang w:val="uk-UA"/>
        </w:rPr>
        <w:t xml:space="preserve">Припис про усунення виявлених порушень законодавства у сферах охорони праці, </w:t>
        <w:br/>
        <w:t>промислової безпеки КП «ТЕТ»</w:t>
      </w:r>
    </w:p>
    <w:p>
      <w:pPr>
        <w:pStyle w:val="Normal"/>
        <w:suppressAutoHyphens w:val="false"/>
        <w:jc w:val="both"/>
        <w:rPr>
          <w:lang w:val="uk-UA"/>
        </w:rPr>
      </w:pPr>
      <w:r>
        <w:rPr/>
        <w:drawing>
          <wp:inline distT="0" distB="0" distL="0" distR="0">
            <wp:extent cx="6049010" cy="8561070"/>
            <wp:effectExtent l="0" t="0" r="0" b="0"/>
            <wp:docPr id="15" name="Зображення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ображення14" descr=""/>
                    <pic:cNvPicPr>
                      <a:picLocks noChangeAspect="1" noChangeArrowheads="1"/>
                    </pic:cNvPicPr>
                  </pic:nvPicPr>
                  <pic:blipFill>
                    <a:blip r:embed="rId20"/>
                    <a:stretch>
                      <a:fillRect/>
                    </a:stretch>
                  </pic:blipFill>
                  <pic:spPr bwMode="auto">
                    <a:xfrm>
                      <a:off x="0" y="0"/>
                      <a:ext cx="6049010" cy="8561070"/>
                    </a:xfrm>
                    <a:prstGeom prst="rect">
                      <a:avLst/>
                    </a:prstGeom>
                  </pic:spPr>
                </pic:pic>
              </a:graphicData>
            </a:graphic>
          </wp:inline>
        </w:drawing>
      </w:r>
      <w:r>
        <w:rPr/>
        <w:t xml:space="preserve"> </w:t>
      </w:r>
    </w:p>
    <w:p>
      <w:pPr>
        <w:pStyle w:val="Normal"/>
        <w:suppressAutoHyphens w:val="false"/>
        <w:jc w:val="both"/>
        <w:rPr/>
      </w:pPr>
      <w:r>
        <w:rPr/>
        <w:drawing>
          <wp:inline distT="0" distB="0" distL="0" distR="0">
            <wp:extent cx="6120130" cy="8661400"/>
            <wp:effectExtent l="0" t="0" r="0" b="0"/>
            <wp:docPr id="16" name="Зображення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ображення15" descr=""/>
                    <pic:cNvPicPr>
                      <a:picLocks noChangeAspect="1" noChangeArrowheads="1"/>
                    </pic:cNvPicPr>
                  </pic:nvPicPr>
                  <pic:blipFill>
                    <a:blip r:embed="rId21"/>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17" name="Зображення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браження16" descr=""/>
                    <pic:cNvPicPr>
                      <a:picLocks noChangeAspect="1" noChangeArrowheads="1"/>
                    </pic:cNvPicPr>
                  </pic:nvPicPr>
                  <pic:blipFill>
                    <a:blip r:embed="rId22"/>
                    <a:stretch>
                      <a:fillRect/>
                    </a:stretch>
                  </pic:blipFill>
                  <pic:spPr bwMode="auto">
                    <a:xfrm>
                      <a:off x="0" y="0"/>
                      <a:ext cx="6120130" cy="8661400"/>
                    </a:xfrm>
                    <a:prstGeom prst="rect">
                      <a:avLst/>
                    </a:prstGeom>
                  </pic:spPr>
                </pic:pic>
              </a:graphicData>
            </a:graphic>
          </wp:inline>
        </w:drawing>
      </w:r>
    </w:p>
    <w:p>
      <w:pPr>
        <w:pStyle w:val="Normal"/>
        <w:suppressAutoHyphens w:val="false"/>
        <w:rPr/>
      </w:pPr>
      <w:r>
        <w:rPr/>
      </w:r>
      <w:r>
        <w:br w:type="page"/>
      </w:r>
    </w:p>
    <w:p>
      <w:pPr>
        <w:pStyle w:val="8"/>
        <w:jc w:val="right"/>
        <w:rPr>
          <w:sz w:val="20"/>
          <w:szCs w:val="20"/>
          <w:lang w:val="uk-UA"/>
        </w:rPr>
      </w:pPr>
      <w:r>
        <w:rPr>
          <w:sz w:val="22"/>
          <w:szCs w:val="22"/>
          <w:lang w:val="ru-RU"/>
        </w:rPr>
        <w:t xml:space="preserve">Додаток </w:t>
      </w:r>
      <w:r>
        <w:rPr>
          <w:sz w:val="22"/>
          <w:szCs w:val="22"/>
          <w:lang w:val="uk-UA"/>
        </w:rPr>
        <w:t>4</w:t>
      </w:r>
    </w:p>
    <w:p>
      <w:pPr>
        <w:pStyle w:val="Normal"/>
        <w:suppressAutoHyphens w:val="false"/>
        <w:jc w:val="center"/>
        <w:rPr>
          <w:sz w:val="22"/>
          <w:szCs w:val="22"/>
          <w:lang w:val="uk-UA"/>
        </w:rPr>
      </w:pPr>
      <w:r>
        <w:rPr>
          <w:b/>
          <w:bCs/>
          <w:sz w:val="22"/>
          <w:szCs w:val="22"/>
          <w:lang w:val="uk-UA"/>
        </w:rPr>
        <w:t xml:space="preserve">Лист про усунення виявлених порушень законодавства у сферах охорони праці, </w:t>
        <w:br/>
        <w:t>промислової безпеки КП «ТЕТ»</w:t>
      </w:r>
    </w:p>
    <w:p>
      <w:pPr>
        <w:pStyle w:val="Normal"/>
        <w:suppressAutoHyphens w:val="false"/>
        <w:rPr>
          <w:sz w:val="22"/>
          <w:szCs w:val="22"/>
          <w:lang w:val="uk-UA"/>
        </w:rPr>
      </w:pPr>
      <w:r>
        <w:rPr/>
        <w:drawing>
          <wp:inline distT="0" distB="0" distL="0" distR="0">
            <wp:extent cx="6028690" cy="8532495"/>
            <wp:effectExtent l="0" t="0" r="0" b="0"/>
            <wp:docPr id="18" name="Зображення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ображення17" descr=""/>
                    <pic:cNvPicPr>
                      <a:picLocks noChangeAspect="1" noChangeArrowheads="1"/>
                    </pic:cNvPicPr>
                  </pic:nvPicPr>
                  <pic:blipFill>
                    <a:blip r:embed="rId23"/>
                    <a:stretch>
                      <a:fillRect/>
                    </a:stretch>
                  </pic:blipFill>
                  <pic:spPr bwMode="auto">
                    <a:xfrm>
                      <a:off x="0" y="0"/>
                      <a:ext cx="6028690" cy="8532495"/>
                    </a:xfrm>
                    <a:prstGeom prst="rect">
                      <a:avLst/>
                    </a:prstGeom>
                  </pic:spPr>
                </pic:pic>
              </a:graphicData>
            </a:graphic>
          </wp:inline>
        </w:drawing>
      </w:r>
      <w:r>
        <w:br w:type="page"/>
      </w:r>
    </w:p>
    <w:p>
      <w:pPr>
        <w:pStyle w:val="8"/>
        <w:jc w:val="right"/>
        <w:rPr>
          <w:sz w:val="20"/>
          <w:szCs w:val="20"/>
          <w:lang w:val="uk-UA"/>
        </w:rPr>
      </w:pPr>
      <w:r>
        <w:rPr>
          <w:sz w:val="22"/>
          <w:szCs w:val="22"/>
          <w:lang w:val="ru-RU"/>
        </w:rPr>
        <w:t xml:space="preserve">Додаток </w:t>
      </w:r>
      <w:r>
        <w:rPr>
          <w:sz w:val="22"/>
          <w:szCs w:val="22"/>
          <w:lang w:val="uk-UA"/>
        </w:rPr>
        <w:t>5</w:t>
      </w:r>
    </w:p>
    <w:p>
      <w:pPr>
        <w:pStyle w:val="Normal"/>
        <w:suppressAutoHyphens w:val="false"/>
        <w:jc w:val="center"/>
        <w:rPr>
          <w:b/>
          <w:b/>
          <w:bCs/>
          <w:sz w:val="22"/>
          <w:szCs w:val="22"/>
          <w:lang w:val="uk-UA"/>
        </w:rPr>
      </w:pPr>
      <w:r>
        <w:rPr>
          <w:b/>
          <w:bCs/>
          <w:sz w:val="22"/>
          <w:szCs w:val="22"/>
          <w:lang w:val="uk-UA"/>
        </w:rPr>
        <w:t>Положення про систему управління охороною праці (СУОП) КП «ТЕТ»</w:t>
      </w:r>
    </w:p>
    <w:p>
      <w:pPr>
        <w:pStyle w:val="Normal"/>
        <w:suppressAutoHyphens w:val="false"/>
        <w:rPr>
          <w:b/>
          <w:b/>
          <w:bCs/>
          <w:sz w:val="22"/>
          <w:szCs w:val="22"/>
          <w:lang w:val="uk-UA"/>
        </w:rPr>
      </w:pPr>
      <w:r>
        <w:rPr/>
        <w:drawing>
          <wp:inline distT="0" distB="0" distL="0" distR="0">
            <wp:extent cx="6120130" cy="7920355"/>
            <wp:effectExtent l="0" t="0" r="0" b="0"/>
            <wp:docPr id="19" name="Зображення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ображення18" descr=""/>
                    <pic:cNvPicPr>
                      <a:picLocks noChangeAspect="1" noChangeArrowheads="1"/>
                    </pic:cNvPicPr>
                  </pic:nvPicPr>
                  <pic:blipFill>
                    <a:blip r:embed="rId24"/>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drawing>
          <wp:inline distT="0" distB="0" distL="0" distR="0">
            <wp:extent cx="6120130" cy="7920355"/>
            <wp:effectExtent l="0" t="0" r="0" b="0"/>
            <wp:docPr id="20" name="Зображення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ображення19" descr=""/>
                    <pic:cNvPicPr>
                      <a:picLocks noChangeAspect="1" noChangeArrowheads="1"/>
                    </pic:cNvPicPr>
                  </pic:nvPicPr>
                  <pic:blipFill>
                    <a:blip r:embed="rId25"/>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21" name="Зображення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Зображення20" descr=""/>
                    <pic:cNvPicPr>
                      <a:picLocks noChangeAspect="1" noChangeArrowheads="1"/>
                    </pic:cNvPicPr>
                  </pic:nvPicPr>
                  <pic:blipFill>
                    <a:blip r:embed="rId26"/>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22" name="Зображення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ображення21" descr=""/>
                    <pic:cNvPicPr>
                      <a:picLocks noChangeAspect="1" noChangeArrowheads="1"/>
                    </pic:cNvPicPr>
                  </pic:nvPicPr>
                  <pic:blipFill>
                    <a:blip r:embed="rId27"/>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23" name="Зображення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браження22" descr=""/>
                    <pic:cNvPicPr>
                      <a:picLocks noChangeAspect="1" noChangeArrowheads="1"/>
                    </pic:cNvPicPr>
                  </pic:nvPicPr>
                  <pic:blipFill>
                    <a:blip r:embed="rId28"/>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24" name="Зображення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Зображення23" descr=""/>
                    <pic:cNvPicPr>
                      <a:picLocks noChangeAspect="1" noChangeArrowheads="1"/>
                    </pic:cNvPicPr>
                  </pic:nvPicPr>
                  <pic:blipFill>
                    <a:blip r:embed="rId29"/>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25" name="Зображення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Зображення24" descr=""/>
                    <pic:cNvPicPr>
                      <a:picLocks noChangeAspect="1" noChangeArrowheads="1"/>
                    </pic:cNvPicPr>
                  </pic:nvPicPr>
                  <pic:blipFill>
                    <a:blip r:embed="rId30"/>
                    <a:stretch>
                      <a:fillRect/>
                    </a:stretch>
                  </pic:blipFill>
                  <pic:spPr bwMode="auto">
                    <a:xfrm>
                      <a:off x="0" y="0"/>
                      <a:ext cx="6120130" cy="7920355"/>
                    </a:xfrm>
                    <a:prstGeom prst="rect">
                      <a:avLst/>
                    </a:prstGeom>
                  </pic:spPr>
                </pic:pic>
              </a:graphicData>
            </a:graphic>
          </wp:inline>
        </w:drawing>
      </w:r>
    </w:p>
    <w:p>
      <w:pPr>
        <w:pStyle w:val="Normal"/>
        <w:suppressAutoHyphens w:val="false"/>
        <w:rPr>
          <w:b/>
          <w:b/>
          <w:bCs/>
          <w:sz w:val="22"/>
          <w:szCs w:val="22"/>
          <w:lang w:val="uk-UA" w:eastAsia="en-US"/>
        </w:rPr>
      </w:pPr>
      <w:r>
        <w:rPr/>
        <w:drawing>
          <wp:inline distT="0" distB="0" distL="0" distR="0">
            <wp:extent cx="6120130" cy="7920355"/>
            <wp:effectExtent l="0" t="0" r="0" b="0"/>
            <wp:docPr id="26" name="Зображення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Зображення25" descr=""/>
                    <pic:cNvPicPr>
                      <a:picLocks noChangeAspect="1" noChangeArrowheads="1"/>
                    </pic:cNvPicPr>
                  </pic:nvPicPr>
                  <pic:blipFill>
                    <a:blip r:embed="rId31"/>
                    <a:stretch>
                      <a:fillRect/>
                    </a:stretch>
                  </pic:blipFill>
                  <pic:spPr bwMode="auto">
                    <a:xfrm>
                      <a:off x="0" y="0"/>
                      <a:ext cx="6120130" cy="7920355"/>
                    </a:xfrm>
                    <a:prstGeom prst="rect">
                      <a:avLst/>
                    </a:prstGeom>
                  </pic:spPr>
                </pic:pic>
              </a:graphicData>
            </a:graphic>
          </wp:inline>
        </w:drawing>
      </w:r>
      <w:r>
        <w:br w:type="page"/>
      </w:r>
    </w:p>
    <w:p>
      <w:pPr>
        <w:pStyle w:val="8"/>
        <w:jc w:val="right"/>
        <w:rPr>
          <w:sz w:val="20"/>
          <w:szCs w:val="20"/>
          <w:lang w:val="uk-UA"/>
        </w:rPr>
      </w:pPr>
      <w:r>
        <w:rPr>
          <w:sz w:val="22"/>
          <w:szCs w:val="22"/>
          <w:lang w:val="ru-RU"/>
        </w:rPr>
        <w:t xml:space="preserve">Додаток </w:t>
      </w:r>
      <w:r>
        <w:rPr>
          <w:sz w:val="22"/>
          <w:szCs w:val="22"/>
          <w:lang w:val="uk-UA"/>
        </w:rPr>
        <w:t>6</w:t>
      </w:r>
    </w:p>
    <w:p>
      <w:pPr>
        <w:pStyle w:val="Normal"/>
        <w:jc w:val="center"/>
        <w:rPr>
          <w:b/>
          <w:b/>
          <w:bCs/>
          <w:sz w:val="22"/>
          <w:szCs w:val="22"/>
          <w:lang w:val="uk-UA"/>
        </w:rPr>
      </w:pPr>
      <w:r>
        <w:rPr>
          <w:b/>
          <w:bCs/>
          <w:sz w:val="22"/>
          <w:szCs w:val="22"/>
          <w:lang w:val="uk-UA"/>
        </w:rPr>
        <w:t xml:space="preserve">Посвідчення про перевірку знань з охорони праці відповідального за електрогосподарство </w:t>
        <w:br/>
        <w:t>та заступника відповідального за електрогосподарство КП «ТЕТ»</w:t>
      </w:r>
    </w:p>
    <w:p>
      <w:pPr>
        <w:pStyle w:val="Normal"/>
        <w:jc w:val="center"/>
        <w:rPr>
          <w:b/>
          <w:b/>
          <w:bCs/>
          <w:sz w:val="22"/>
          <w:szCs w:val="22"/>
          <w:lang w:val="uk-UA"/>
        </w:rPr>
      </w:pPr>
      <w:r>
        <w:rPr/>
        <w:drawing>
          <wp:inline distT="0" distB="0" distL="0" distR="0">
            <wp:extent cx="6120130" cy="7920355"/>
            <wp:effectExtent l="0" t="0" r="0" b="0"/>
            <wp:docPr id="27" name="Зображення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Зображення26" descr=""/>
                    <pic:cNvPicPr>
                      <a:picLocks noChangeAspect="1" noChangeArrowheads="1"/>
                    </pic:cNvPicPr>
                  </pic:nvPicPr>
                  <pic:blipFill>
                    <a:blip r:embed="rId32"/>
                    <a:stretch>
                      <a:fillRect/>
                    </a:stretch>
                  </pic:blipFill>
                  <pic:spPr bwMode="auto">
                    <a:xfrm>
                      <a:off x="0" y="0"/>
                      <a:ext cx="6120130" cy="7920355"/>
                    </a:xfrm>
                    <a:prstGeom prst="rect">
                      <a:avLst/>
                    </a:prstGeom>
                  </pic:spPr>
                </pic:pic>
              </a:graphicData>
            </a:graphic>
          </wp:inline>
        </w:drawing>
      </w:r>
    </w:p>
    <w:p>
      <w:pPr>
        <w:pStyle w:val="Normal"/>
        <w:jc w:val="center"/>
        <w:rPr>
          <w:b/>
          <w:b/>
          <w:bCs/>
          <w:sz w:val="22"/>
          <w:szCs w:val="22"/>
          <w:lang w:val="uk-UA"/>
        </w:rPr>
      </w:pPr>
      <w:r>
        <w:rPr/>
        <w:drawing>
          <wp:inline distT="0" distB="0" distL="0" distR="0">
            <wp:extent cx="6120130" cy="7920355"/>
            <wp:effectExtent l="0" t="0" r="0" b="0"/>
            <wp:docPr id="28" name="Зображення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Зображення27" descr=""/>
                    <pic:cNvPicPr>
                      <a:picLocks noChangeAspect="1" noChangeArrowheads="1"/>
                    </pic:cNvPicPr>
                  </pic:nvPicPr>
                  <pic:blipFill>
                    <a:blip r:embed="rId33"/>
                    <a:stretch>
                      <a:fillRect/>
                    </a:stretch>
                  </pic:blipFill>
                  <pic:spPr bwMode="auto">
                    <a:xfrm>
                      <a:off x="0" y="0"/>
                      <a:ext cx="6120130" cy="7920355"/>
                    </a:xfrm>
                    <a:prstGeom prst="rect">
                      <a:avLst/>
                    </a:prstGeom>
                  </pic:spPr>
                </pic:pic>
              </a:graphicData>
            </a:graphic>
          </wp:inline>
        </w:drawing>
      </w:r>
      <w:r>
        <w:rPr/>
        <w:t xml:space="preserve"> </w:t>
      </w:r>
      <w:r>
        <w:rPr/>
        <w:drawing>
          <wp:inline distT="0" distB="0" distL="0" distR="0">
            <wp:extent cx="6120130" cy="7920355"/>
            <wp:effectExtent l="0" t="0" r="0" b="0"/>
            <wp:docPr id="29" name="Зображення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ображення28" descr=""/>
                    <pic:cNvPicPr>
                      <a:picLocks noChangeAspect="1" noChangeArrowheads="1"/>
                    </pic:cNvPicPr>
                  </pic:nvPicPr>
                  <pic:blipFill>
                    <a:blip r:embed="rId34"/>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sz w:val="22"/>
          <w:szCs w:val="22"/>
          <w:lang w:val="uk-UA"/>
        </w:rPr>
      </w:r>
      <w:r>
        <w:br w:type="page"/>
      </w:r>
    </w:p>
    <w:p>
      <w:pPr>
        <w:pStyle w:val="8"/>
        <w:jc w:val="right"/>
        <w:rPr>
          <w:sz w:val="20"/>
          <w:szCs w:val="20"/>
          <w:lang w:val="uk-UA"/>
        </w:rPr>
      </w:pPr>
      <w:r>
        <w:rPr>
          <w:sz w:val="22"/>
          <w:szCs w:val="22"/>
          <w:lang w:val="ru-RU"/>
        </w:rPr>
        <w:t xml:space="preserve">Додаток </w:t>
      </w:r>
      <w:r>
        <w:rPr>
          <w:sz w:val="22"/>
          <w:szCs w:val="22"/>
          <w:lang w:val="uk-UA"/>
        </w:rPr>
        <w:t>7</w:t>
      </w:r>
    </w:p>
    <w:p>
      <w:pPr>
        <w:pStyle w:val="Normal"/>
        <w:jc w:val="center"/>
        <w:rPr>
          <w:b/>
          <w:b/>
          <w:bCs/>
          <w:sz w:val="22"/>
          <w:szCs w:val="22"/>
          <w:lang w:val="uk-UA"/>
        </w:rPr>
      </w:pPr>
      <w:r>
        <w:rPr>
          <w:b/>
          <w:bCs/>
          <w:sz w:val="22"/>
          <w:szCs w:val="22"/>
          <w:lang w:val="uk-UA"/>
        </w:rPr>
        <w:t>Посвідчення про професійне навчання операторів автозаправної станції КП «ТЕТ»</w:t>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drawing>
          <wp:inline distT="0" distB="0" distL="0" distR="0">
            <wp:extent cx="6120130" cy="7920355"/>
            <wp:effectExtent l="0" t="0" r="0" b="0"/>
            <wp:docPr id="30" name="Зображення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Зображення29" descr=""/>
                    <pic:cNvPicPr>
                      <a:picLocks noChangeAspect="1" noChangeArrowheads="1"/>
                    </pic:cNvPicPr>
                  </pic:nvPicPr>
                  <pic:blipFill>
                    <a:blip r:embed="rId35"/>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31" name="Зображення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браження30" descr=""/>
                    <pic:cNvPicPr>
                      <a:picLocks noChangeAspect="1" noChangeArrowheads="1"/>
                    </pic:cNvPicPr>
                  </pic:nvPicPr>
                  <pic:blipFill>
                    <a:blip r:embed="rId36"/>
                    <a:stretch>
                      <a:fillRect/>
                    </a:stretch>
                  </pic:blipFill>
                  <pic:spPr bwMode="auto">
                    <a:xfrm>
                      <a:off x="0" y="0"/>
                      <a:ext cx="6120130" cy="7920355"/>
                    </a:xfrm>
                    <a:prstGeom prst="rect">
                      <a:avLst/>
                    </a:prstGeom>
                  </pic:spPr>
                </pic:pic>
              </a:graphicData>
            </a:graphic>
          </wp:inline>
        </w:drawing>
      </w:r>
      <w:r>
        <w:rPr/>
        <w:t xml:space="preserve"> </w:t>
      </w:r>
      <w:r>
        <w:rPr/>
        <w:drawing>
          <wp:inline distT="0" distB="0" distL="0" distR="0">
            <wp:extent cx="6120130" cy="7920355"/>
            <wp:effectExtent l="0" t="0" r="0" b="0"/>
            <wp:docPr id="32" name="Зображення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Зображення31" descr=""/>
                    <pic:cNvPicPr>
                      <a:picLocks noChangeAspect="1" noChangeArrowheads="1"/>
                    </pic:cNvPicPr>
                  </pic:nvPicPr>
                  <pic:blipFill>
                    <a:blip r:embed="rId37"/>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sz w:val="22"/>
          <w:szCs w:val="22"/>
          <w:lang w:val="uk-UA"/>
        </w:rPr>
      </w:r>
      <w:r>
        <w:br w:type="page"/>
      </w:r>
    </w:p>
    <w:p>
      <w:pPr>
        <w:pStyle w:val="8"/>
        <w:jc w:val="right"/>
        <w:rPr>
          <w:sz w:val="20"/>
          <w:szCs w:val="20"/>
          <w:lang w:val="uk-UA"/>
        </w:rPr>
      </w:pPr>
      <w:r>
        <w:rPr>
          <w:sz w:val="22"/>
          <w:szCs w:val="22"/>
          <w:lang w:val="ru-RU"/>
        </w:rPr>
        <w:t xml:space="preserve">Додаток </w:t>
      </w:r>
      <w:r>
        <w:rPr>
          <w:sz w:val="22"/>
          <w:szCs w:val="22"/>
          <w:lang w:val="uk-UA"/>
        </w:rPr>
        <w:t>8</w:t>
      </w:r>
    </w:p>
    <w:p>
      <w:pPr>
        <w:pStyle w:val="Normal"/>
        <w:jc w:val="center"/>
        <w:rPr>
          <w:b/>
          <w:b/>
          <w:bCs/>
          <w:sz w:val="22"/>
          <w:szCs w:val="22"/>
          <w:lang w:val="uk-UA"/>
        </w:rPr>
      </w:pPr>
      <w:r>
        <w:rPr>
          <w:b/>
          <w:bCs/>
          <w:sz w:val="22"/>
          <w:szCs w:val="22"/>
          <w:lang w:val="uk-UA"/>
        </w:rPr>
        <w:t>Посвідчення про навчання водіїв методам надання домедичної допомоги постраждалим внаслідок ДТП КП «ТЕТ»</w:t>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drawing>
          <wp:inline distT="0" distB="0" distL="0" distR="0">
            <wp:extent cx="6120130" cy="7920355"/>
            <wp:effectExtent l="0" t="0" r="0" b="0"/>
            <wp:docPr id="33" name="Зображення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Зображення32" descr=""/>
                    <pic:cNvPicPr>
                      <a:picLocks noChangeAspect="1" noChangeArrowheads="1"/>
                    </pic:cNvPicPr>
                  </pic:nvPicPr>
                  <pic:blipFill>
                    <a:blip r:embed="rId38"/>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34" name="Зображення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ображення33" descr=""/>
                    <pic:cNvPicPr>
                      <a:picLocks noChangeAspect="1" noChangeArrowheads="1"/>
                    </pic:cNvPicPr>
                  </pic:nvPicPr>
                  <pic:blipFill>
                    <a:blip r:embed="rId39"/>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35" name="Зображення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Зображення34" descr=""/>
                    <pic:cNvPicPr>
                      <a:picLocks noChangeAspect="1" noChangeArrowheads="1"/>
                    </pic:cNvPicPr>
                  </pic:nvPicPr>
                  <pic:blipFill>
                    <a:blip r:embed="rId40"/>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7920355"/>
            <wp:effectExtent l="0" t="0" r="0" b="0"/>
            <wp:docPr id="36" name="Зображення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Зображення35" descr=""/>
                    <pic:cNvPicPr>
                      <a:picLocks noChangeAspect="1" noChangeArrowheads="1"/>
                    </pic:cNvPicPr>
                  </pic:nvPicPr>
                  <pic:blipFill>
                    <a:blip r:embed="rId41"/>
                    <a:stretch>
                      <a:fillRect/>
                    </a:stretch>
                  </pic:blipFill>
                  <pic:spPr bwMode="auto">
                    <a:xfrm>
                      <a:off x="0" y="0"/>
                      <a:ext cx="6120130" cy="7920355"/>
                    </a:xfrm>
                    <a:prstGeom prst="rect">
                      <a:avLst/>
                    </a:prstGeom>
                  </pic:spPr>
                </pic:pic>
              </a:graphicData>
            </a:graphic>
          </wp:inline>
        </w:drawing>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sz w:val="22"/>
          <w:szCs w:val="22"/>
          <w:lang w:val="uk-UA"/>
        </w:rPr>
      </w:r>
      <w:r>
        <w:br w:type="page"/>
      </w:r>
    </w:p>
    <w:p>
      <w:pPr>
        <w:pStyle w:val="8"/>
        <w:jc w:val="right"/>
        <w:rPr>
          <w:sz w:val="20"/>
          <w:szCs w:val="20"/>
          <w:lang w:val="uk-UA"/>
        </w:rPr>
      </w:pPr>
      <w:r>
        <w:rPr>
          <w:sz w:val="22"/>
          <w:szCs w:val="22"/>
          <w:lang w:val="uk-UA"/>
        </w:rPr>
        <w:t>Додаток 9</w:t>
      </w:r>
    </w:p>
    <w:p>
      <w:pPr>
        <w:pStyle w:val="Normal"/>
        <w:jc w:val="center"/>
        <w:rPr>
          <w:b/>
          <w:b/>
          <w:bCs/>
          <w:sz w:val="22"/>
          <w:szCs w:val="22"/>
          <w:lang w:val="uk-UA"/>
        </w:rPr>
      </w:pPr>
      <w:r>
        <w:rPr>
          <w:b/>
          <w:bCs/>
          <w:sz w:val="22"/>
          <w:szCs w:val="22"/>
          <w:lang w:val="uk-UA"/>
        </w:rPr>
        <w:t xml:space="preserve">Посвідчення про навчання з питань цивільного захисту директора підприємства, відповідальної особи з питань цивільного захисту, командирів санітарного поста </w:t>
        <w:br/>
        <w:t>та аварійно-рятувальної ланки КП «ТЕТ»</w:t>
      </w:r>
    </w:p>
    <w:p>
      <w:pPr>
        <w:pStyle w:val="Normal"/>
        <w:jc w:val="center"/>
        <w:rPr>
          <w:lang w:val="uk-UA"/>
        </w:rPr>
      </w:pPr>
      <w:r>
        <w:rPr/>
        <w:drawing>
          <wp:inline distT="0" distB="0" distL="0" distR="0">
            <wp:extent cx="6120130" cy="7920355"/>
            <wp:effectExtent l="0" t="0" r="0" b="0"/>
            <wp:docPr id="37" name="Зображення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Зображення36" descr=""/>
                    <pic:cNvPicPr>
                      <a:picLocks noChangeAspect="1" noChangeArrowheads="1"/>
                    </pic:cNvPicPr>
                  </pic:nvPicPr>
                  <pic:blipFill>
                    <a:blip r:embed="rId42"/>
                    <a:stretch>
                      <a:fillRect/>
                    </a:stretch>
                  </pic:blipFill>
                  <pic:spPr bwMode="auto">
                    <a:xfrm>
                      <a:off x="0" y="0"/>
                      <a:ext cx="6120130" cy="7920355"/>
                    </a:xfrm>
                    <a:prstGeom prst="rect">
                      <a:avLst/>
                    </a:prstGeom>
                  </pic:spPr>
                </pic:pic>
              </a:graphicData>
            </a:graphic>
          </wp:inline>
        </w:drawing>
      </w:r>
      <w:r>
        <w:rPr/>
        <w:t xml:space="preserve"> </w:t>
      </w:r>
    </w:p>
    <w:p>
      <w:pPr>
        <w:pStyle w:val="Normal"/>
        <w:jc w:val="center"/>
        <w:rPr>
          <w:b/>
          <w:b/>
          <w:bCs/>
          <w:sz w:val="22"/>
          <w:szCs w:val="22"/>
          <w:lang w:val="uk-UA"/>
        </w:rPr>
      </w:pPr>
      <w:r>
        <w:rPr/>
        <w:drawing>
          <wp:inline distT="0" distB="0" distL="0" distR="0">
            <wp:extent cx="6120130" cy="7920355"/>
            <wp:effectExtent l="0" t="0" r="0" b="0"/>
            <wp:docPr id="38" name="Зображення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Зображення37" descr=""/>
                    <pic:cNvPicPr>
                      <a:picLocks noChangeAspect="1" noChangeArrowheads="1"/>
                    </pic:cNvPicPr>
                  </pic:nvPicPr>
                  <pic:blipFill>
                    <a:blip r:embed="rId43"/>
                    <a:stretch>
                      <a:fillRect/>
                    </a:stretch>
                  </pic:blipFill>
                  <pic:spPr bwMode="auto">
                    <a:xfrm>
                      <a:off x="0" y="0"/>
                      <a:ext cx="6120130" cy="7920355"/>
                    </a:xfrm>
                    <a:prstGeom prst="rect">
                      <a:avLst/>
                    </a:prstGeom>
                  </pic:spPr>
                </pic:pic>
              </a:graphicData>
            </a:graphic>
          </wp:inline>
        </w:drawing>
      </w:r>
      <w:r>
        <w:rPr>
          <w:b/>
          <w:bCs/>
          <w:sz w:val="22"/>
          <w:szCs w:val="22"/>
          <w:lang w:val="uk-UA"/>
        </w:rPr>
        <w:t xml:space="preserve"> </w:t>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sz w:val="22"/>
          <w:szCs w:val="22"/>
          <w:lang w:val="uk-UA"/>
        </w:rPr>
      </w:r>
      <w:r>
        <w:br w:type="page"/>
      </w:r>
    </w:p>
    <w:p>
      <w:pPr>
        <w:pStyle w:val="8"/>
        <w:jc w:val="right"/>
        <w:rPr>
          <w:sz w:val="20"/>
          <w:szCs w:val="20"/>
          <w:lang w:val="uk-UA"/>
        </w:rPr>
      </w:pPr>
      <w:r>
        <w:rPr>
          <w:sz w:val="22"/>
          <w:szCs w:val="22"/>
          <w:lang w:val="ru-RU"/>
        </w:rPr>
        <w:t xml:space="preserve">Додаток </w:t>
      </w:r>
      <w:r>
        <w:rPr>
          <w:sz w:val="22"/>
          <w:szCs w:val="22"/>
          <w:lang w:val="uk-UA"/>
        </w:rPr>
        <w:t>10</w:t>
      </w:r>
    </w:p>
    <w:p>
      <w:pPr>
        <w:pStyle w:val="Normal"/>
        <w:jc w:val="center"/>
        <w:rPr>
          <w:b/>
          <w:b/>
          <w:bCs/>
          <w:sz w:val="22"/>
          <w:szCs w:val="22"/>
          <w:lang w:val="uk-UA"/>
        </w:rPr>
      </w:pPr>
      <w:r>
        <w:rPr>
          <w:b/>
          <w:bCs/>
          <w:sz w:val="22"/>
          <w:szCs w:val="22"/>
          <w:lang w:val="uk-UA"/>
        </w:rPr>
        <w:t>Звіт про витрати на охорону навколишнього природного середовища КП «ТЕТ»</w:t>
      </w:r>
    </w:p>
    <w:p>
      <w:pPr>
        <w:pStyle w:val="Normal"/>
        <w:suppressAutoHyphens w:val="false"/>
        <w:rPr>
          <w:sz w:val="22"/>
          <w:szCs w:val="22"/>
          <w:lang w:val="uk-UA"/>
        </w:rPr>
      </w:pPr>
      <w:r>
        <w:rPr/>
        <w:drawing>
          <wp:inline distT="0" distB="0" distL="0" distR="0">
            <wp:extent cx="6120130" cy="8661400"/>
            <wp:effectExtent l="0" t="0" r="0" b="0"/>
            <wp:docPr id="39" name="Зображення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браження38" descr=""/>
                    <pic:cNvPicPr>
                      <a:picLocks noChangeAspect="1" noChangeArrowheads="1"/>
                    </pic:cNvPicPr>
                  </pic:nvPicPr>
                  <pic:blipFill>
                    <a:blip r:embed="rId44"/>
                    <a:stretch>
                      <a:fillRect/>
                    </a:stretch>
                  </pic:blipFill>
                  <pic:spPr bwMode="auto">
                    <a:xfrm>
                      <a:off x="0" y="0"/>
                      <a:ext cx="6120130" cy="8661400"/>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8661400"/>
            <wp:effectExtent l="0" t="0" r="0" b="0"/>
            <wp:docPr id="40" name="Зображення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Зображення39" descr=""/>
                    <pic:cNvPicPr>
                      <a:picLocks noChangeAspect="1" noChangeArrowheads="1"/>
                    </pic:cNvPicPr>
                  </pic:nvPicPr>
                  <pic:blipFill>
                    <a:blip r:embed="rId45"/>
                    <a:stretch>
                      <a:fillRect/>
                    </a:stretch>
                  </pic:blipFill>
                  <pic:spPr bwMode="auto">
                    <a:xfrm>
                      <a:off x="0" y="0"/>
                      <a:ext cx="6120130" cy="8661400"/>
                    </a:xfrm>
                    <a:prstGeom prst="rect">
                      <a:avLst/>
                    </a:prstGeom>
                  </pic:spPr>
                </pic:pic>
              </a:graphicData>
            </a:graphic>
          </wp:inline>
        </w:drawing>
      </w:r>
    </w:p>
    <w:p>
      <w:pPr>
        <w:pStyle w:val="Normal"/>
        <w:suppressAutoHyphens w:val="false"/>
        <w:rPr>
          <w:sz w:val="22"/>
          <w:szCs w:val="22"/>
          <w:lang w:val="uk-UA"/>
        </w:rPr>
      </w:pPr>
      <w:r>
        <w:rPr/>
        <w:drawing>
          <wp:inline distT="0" distB="0" distL="0" distR="0">
            <wp:extent cx="6120130" cy="8661400"/>
            <wp:effectExtent l="0" t="0" r="0" b="0"/>
            <wp:docPr id="41" name="Зображення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Зображення40" descr=""/>
                    <pic:cNvPicPr>
                      <a:picLocks noChangeAspect="1" noChangeArrowheads="1"/>
                    </pic:cNvPicPr>
                  </pic:nvPicPr>
                  <pic:blipFill>
                    <a:blip r:embed="rId46"/>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42" name="Зображення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Зображення41" descr=""/>
                    <pic:cNvPicPr>
                      <a:picLocks noChangeAspect="1" noChangeArrowheads="1"/>
                    </pic:cNvPicPr>
                  </pic:nvPicPr>
                  <pic:blipFill>
                    <a:blip r:embed="rId47"/>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43" name="Зображення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Зображення42" descr=""/>
                    <pic:cNvPicPr>
                      <a:picLocks noChangeAspect="1" noChangeArrowheads="1"/>
                    </pic:cNvPicPr>
                  </pic:nvPicPr>
                  <pic:blipFill>
                    <a:blip r:embed="rId48"/>
                    <a:stretch>
                      <a:fillRect/>
                    </a:stretch>
                  </pic:blipFill>
                  <pic:spPr bwMode="auto">
                    <a:xfrm>
                      <a:off x="0" y="0"/>
                      <a:ext cx="6120130" cy="8661400"/>
                    </a:xfrm>
                    <a:prstGeom prst="rect">
                      <a:avLst/>
                    </a:prstGeom>
                  </pic:spPr>
                </pic:pic>
              </a:graphicData>
            </a:graphic>
          </wp:inline>
        </w:drawing>
      </w:r>
    </w:p>
    <w:p>
      <w:pPr>
        <w:pStyle w:val="Normal"/>
        <w:suppressAutoHyphens w:val="false"/>
        <w:rPr>
          <w:sz w:val="22"/>
          <w:szCs w:val="22"/>
          <w:lang w:val="uk-UA"/>
        </w:rPr>
      </w:pPr>
      <w:r>
        <w:rPr>
          <w:sz w:val="22"/>
          <w:szCs w:val="22"/>
          <w:lang w:val="uk-UA"/>
        </w:rPr>
      </w:r>
    </w:p>
    <w:p>
      <w:pPr>
        <w:pStyle w:val="Normal"/>
        <w:suppressAutoHyphens w:val="false"/>
        <w:rPr>
          <w:sz w:val="22"/>
          <w:szCs w:val="22"/>
          <w:lang w:val="uk-UA"/>
        </w:rPr>
      </w:pPr>
      <w:r>
        <w:rPr>
          <w:sz w:val="22"/>
          <w:szCs w:val="22"/>
          <w:lang w:val="uk-UA"/>
        </w:rPr>
      </w:r>
      <w:r>
        <w:br w:type="page"/>
      </w:r>
    </w:p>
    <w:p>
      <w:pPr>
        <w:pStyle w:val="Normal"/>
        <w:suppressAutoHyphens w:val="false"/>
        <w:rPr>
          <w:sz w:val="22"/>
          <w:szCs w:val="22"/>
          <w:lang w:val="uk-UA"/>
        </w:rPr>
      </w:pPr>
      <w:r>
        <w:rPr>
          <w:sz w:val="22"/>
          <w:szCs w:val="22"/>
          <w:lang w:val="uk-UA"/>
        </w:rPr>
      </w:r>
    </w:p>
    <w:p>
      <w:pPr>
        <w:pStyle w:val="8"/>
        <w:jc w:val="right"/>
        <w:rPr>
          <w:sz w:val="20"/>
          <w:szCs w:val="20"/>
          <w:lang w:val="uk-UA"/>
        </w:rPr>
      </w:pPr>
      <w:r>
        <w:rPr>
          <w:sz w:val="22"/>
          <w:szCs w:val="22"/>
          <w:lang w:val="ru-RU"/>
        </w:rPr>
        <w:t>Додаток</w:t>
      </w:r>
      <w:r>
        <w:rPr>
          <w:sz w:val="22"/>
          <w:szCs w:val="22"/>
          <w:lang w:val="uk-UA"/>
        </w:rPr>
        <w:t xml:space="preserve"> 11</w:t>
      </w:r>
    </w:p>
    <w:p>
      <w:pPr>
        <w:pStyle w:val="Normal"/>
        <w:jc w:val="center"/>
        <w:rPr>
          <w:b/>
          <w:b/>
          <w:bCs/>
          <w:sz w:val="22"/>
          <w:szCs w:val="22"/>
          <w:lang w:val="uk-UA"/>
        </w:rPr>
      </w:pPr>
      <w:r>
        <w:rPr>
          <w:b/>
          <w:bCs/>
          <w:sz w:val="22"/>
          <w:szCs w:val="22"/>
          <w:lang w:val="uk-UA"/>
        </w:rPr>
        <w:t>Дозвіл на викиди в атмосферне повітря стаціонарними джерелами КП «ТЕТ»</w:t>
      </w:r>
    </w:p>
    <w:p>
      <w:pPr>
        <w:pStyle w:val="Normal"/>
        <w:jc w:val="both"/>
        <w:rPr>
          <w:sz w:val="18"/>
          <w:szCs w:val="18"/>
          <w:lang w:val="uk-UA"/>
        </w:rPr>
      </w:pPr>
      <w:r>
        <w:rPr/>
        <w:drawing>
          <wp:inline distT="0" distB="0" distL="0" distR="0">
            <wp:extent cx="6120130" cy="8661400"/>
            <wp:effectExtent l="0" t="0" r="0" b="0"/>
            <wp:docPr id="44" name="Зображення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Зображення43" descr=""/>
                    <pic:cNvPicPr>
                      <a:picLocks noChangeAspect="1" noChangeArrowheads="1"/>
                    </pic:cNvPicPr>
                  </pic:nvPicPr>
                  <pic:blipFill>
                    <a:blip r:embed="rId49"/>
                    <a:stretch>
                      <a:fillRect/>
                    </a:stretch>
                  </pic:blipFill>
                  <pic:spPr bwMode="auto">
                    <a:xfrm>
                      <a:off x="0" y="0"/>
                      <a:ext cx="6120130" cy="8661400"/>
                    </a:xfrm>
                    <a:prstGeom prst="rect">
                      <a:avLst/>
                    </a:prstGeom>
                  </pic:spPr>
                </pic:pic>
              </a:graphicData>
            </a:graphic>
          </wp:inline>
        </w:drawing>
      </w:r>
    </w:p>
    <w:p>
      <w:pPr>
        <w:pStyle w:val="Normal"/>
        <w:jc w:val="both"/>
        <w:rPr/>
      </w:pPr>
      <w:r>
        <w:rPr/>
        <w:drawing>
          <wp:inline distT="0" distB="0" distL="0" distR="0">
            <wp:extent cx="6120130" cy="8661400"/>
            <wp:effectExtent l="0" t="0" r="0" b="0"/>
            <wp:docPr id="45" name="Зображення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Зображення44" descr=""/>
                    <pic:cNvPicPr>
                      <a:picLocks noChangeAspect="1" noChangeArrowheads="1"/>
                    </pic:cNvPicPr>
                  </pic:nvPicPr>
                  <pic:blipFill>
                    <a:blip r:embed="rId50"/>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46" name="Зображення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Зображення45" descr=""/>
                    <pic:cNvPicPr>
                      <a:picLocks noChangeAspect="1" noChangeArrowheads="1"/>
                    </pic:cNvPicPr>
                  </pic:nvPicPr>
                  <pic:blipFill>
                    <a:blip r:embed="rId51"/>
                    <a:stretch>
                      <a:fillRect/>
                    </a:stretch>
                  </pic:blipFill>
                  <pic:spPr bwMode="auto">
                    <a:xfrm>
                      <a:off x="0" y="0"/>
                      <a:ext cx="6120130" cy="8661400"/>
                    </a:xfrm>
                    <a:prstGeom prst="rect">
                      <a:avLst/>
                    </a:prstGeom>
                  </pic:spPr>
                </pic:pic>
              </a:graphicData>
            </a:graphic>
          </wp:inline>
        </w:drawing>
      </w:r>
    </w:p>
    <w:p>
      <w:pPr>
        <w:pStyle w:val="Normal"/>
        <w:suppressAutoHyphens w:val="false"/>
        <w:rPr/>
      </w:pPr>
      <w:r>
        <w:rPr/>
      </w:r>
      <w:r>
        <w:br w:type="page"/>
      </w:r>
    </w:p>
    <w:p>
      <w:pPr>
        <w:pStyle w:val="8"/>
        <w:jc w:val="right"/>
        <w:rPr>
          <w:sz w:val="22"/>
          <w:szCs w:val="22"/>
          <w:lang w:val="ru-RU"/>
        </w:rPr>
      </w:pPr>
      <w:r>
        <w:rPr>
          <w:sz w:val="22"/>
          <w:szCs w:val="22"/>
          <w:lang w:val="ru-RU"/>
        </w:rPr>
        <w:t xml:space="preserve">Додаток </w:t>
      </w:r>
      <w:r>
        <w:rPr>
          <w:sz w:val="22"/>
          <w:szCs w:val="22"/>
          <w:lang w:val="uk-UA"/>
        </w:rPr>
        <w:t>12</w:t>
      </w:r>
    </w:p>
    <w:p>
      <w:pPr>
        <w:pStyle w:val="Normal"/>
        <w:jc w:val="center"/>
        <w:rPr>
          <w:b/>
          <w:b/>
          <w:bCs/>
          <w:sz w:val="22"/>
          <w:szCs w:val="22"/>
          <w:lang w:val="uk-UA"/>
        </w:rPr>
      </w:pPr>
      <w:r>
        <w:rPr>
          <w:b/>
          <w:bCs/>
          <w:sz w:val="22"/>
          <w:szCs w:val="22"/>
          <w:lang w:val="uk-UA"/>
        </w:rPr>
        <w:t>Дані про стан атмосферного повітря у м. Тернопіль системи SaveEcoBot</w:t>
      </w:r>
      <w:r>
        <w:rPr>
          <w:rStyle w:val="Style12"/>
          <w:b/>
          <w:bCs/>
          <w:sz w:val="22"/>
          <w:szCs w:val="22"/>
          <w:lang w:val="uk-UA"/>
        </w:rPr>
        <w:footnoteReference w:id="14"/>
      </w:r>
    </w:p>
    <w:p>
      <w:pPr>
        <w:pStyle w:val="Normal"/>
        <w:jc w:val="center"/>
        <w:rPr>
          <w:b/>
          <w:b/>
          <w:bCs/>
          <w:sz w:val="22"/>
          <w:szCs w:val="22"/>
          <w:lang w:val="uk-UA"/>
        </w:rPr>
      </w:pPr>
      <w:r>
        <w:rPr>
          <w:b/>
          <w:bCs/>
          <w:sz w:val="22"/>
          <w:szCs w:val="22"/>
          <w:lang w:val="uk-UA"/>
        </w:rPr>
        <w:t>за період 14 жовтня 2024 р. – 14 жовтня 2025 р.</w:t>
      </w:r>
    </w:p>
    <w:p>
      <w:pPr>
        <w:pStyle w:val="Normal"/>
        <w:jc w:val="center"/>
        <w:rPr>
          <w:sz w:val="22"/>
          <w:szCs w:val="22"/>
          <w:lang w:val="uk-UA"/>
        </w:rPr>
      </w:pPr>
      <w:r>
        <w:rPr/>
        <w:drawing>
          <wp:inline distT="0" distB="0" distL="0" distR="0">
            <wp:extent cx="6120130" cy="3069590"/>
            <wp:effectExtent l="0" t="0" r="0" b="0"/>
            <wp:docPr id="47"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2" descr=""/>
                    <pic:cNvPicPr>
                      <a:picLocks noChangeAspect="1" noChangeArrowheads="1"/>
                    </pic:cNvPicPr>
                  </pic:nvPicPr>
                  <pic:blipFill>
                    <a:blip r:embed="rId52"/>
                    <a:stretch>
                      <a:fillRect/>
                    </a:stretch>
                  </pic:blipFill>
                  <pic:spPr bwMode="auto">
                    <a:xfrm>
                      <a:off x="0" y="0"/>
                      <a:ext cx="6120130" cy="3069590"/>
                    </a:xfrm>
                    <a:prstGeom prst="rect">
                      <a:avLst/>
                    </a:prstGeom>
                  </pic:spPr>
                </pic:pic>
              </a:graphicData>
            </a:graphic>
          </wp:inline>
        </w:drawing>
      </w:r>
    </w:p>
    <w:p>
      <w:pPr>
        <w:pStyle w:val="Normal"/>
        <w:jc w:val="center"/>
        <w:rPr>
          <w:sz w:val="22"/>
          <w:szCs w:val="22"/>
          <w:lang w:val="uk-UA"/>
        </w:rPr>
      </w:pPr>
      <w:r>
        <w:rPr>
          <w:sz w:val="22"/>
          <w:szCs w:val="22"/>
          <w:lang w:val="uk-UA"/>
        </w:rPr>
      </w:r>
    </w:p>
    <w:p>
      <w:pPr>
        <w:pStyle w:val="Normal"/>
        <w:jc w:val="center"/>
        <w:rPr>
          <w:sz w:val="22"/>
          <w:szCs w:val="22"/>
          <w:lang w:val="uk-UA"/>
        </w:rPr>
      </w:pPr>
      <w:r>
        <w:rPr/>
        <w:drawing>
          <wp:inline distT="0" distB="0" distL="0" distR="0">
            <wp:extent cx="6120130" cy="4450715"/>
            <wp:effectExtent l="0" t="0" r="0" b="0"/>
            <wp:docPr id="4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 descr=""/>
                    <pic:cNvPicPr>
                      <a:picLocks noChangeAspect="1" noChangeArrowheads="1"/>
                    </pic:cNvPicPr>
                  </pic:nvPicPr>
                  <pic:blipFill>
                    <a:blip r:embed="rId53"/>
                    <a:stretch>
                      <a:fillRect/>
                    </a:stretch>
                  </pic:blipFill>
                  <pic:spPr bwMode="auto">
                    <a:xfrm>
                      <a:off x="0" y="0"/>
                      <a:ext cx="6120130" cy="4450715"/>
                    </a:xfrm>
                    <a:prstGeom prst="rect">
                      <a:avLst/>
                    </a:prstGeom>
                  </pic:spPr>
                </pic:pic>
              </a:graphicData>
            </a:graphic>
          </wp:inline>
        </w:drawing>
      </w:r>
    </w:p>
    <w:p>
      <w:pPr>
        <w:pStyle w:val="Normal"/>
        <w:jc w:val="center"/>
        <w:rPr>
          <w:sz w:val="22"/>
          <w:szCs w:val="22"/>
          <w:lang w:val="uk-UA"/>
        </w:rPr>
      </w:pPr>
      <w:r>
        <w:rPr>
          <w:sz w:val="22"/>
          <w:szCs w:val="22"/>
          <w:lang w:val="uk-UA"/>
        </w:rPr>
      </w:r>
    </w:p>
    <w:p>
      <w:pPr>
        <w:pStyle w:val="Normal"/>
        <w:jc w:val="center"/>
        <w:rPr>
          <w:sz w:val="22"/>
          <w:szCs w:val="22"/>
          <w:lang w:val="uk-UA"/>
        </w:rPr>
      </w:pPr>
      <w:r>
        <w:rPr>
          <w:sz w:val="22"/>
          <w:szCs w:val="22"/>
          <w:lang w:val="uk-UA"/>
        </w:rPr>
      </w:r>
    </w:p>
    <w:p>
      <w:pPr>
        <w:pStyle w:val="Normal"/>
        <w:suppressAutoHyphens w:val="false"/>
        <w:rPr>
          <w:sz w:val="18"/>
          <w:szCs w:val="18"/>
          <w:lang w:val="uk-UA"/>
        </w:rPr>
      </w:pPr>
      <w:r>
        <w:rPr>
          <w:sz w:val="18"/>
          <w:szCs w:val="18"/>
          <w:lang w:val="uk-UA"/>
        </w:rPr>
      </w:r>
      <w:r>
        <w:br w:type="page"/>
      </w:r>
    </w:p>
    <w:p>
      <w:pPr>
        <w:pStyle w:val="8"/>
        <w:jc w:val="right"/>
        <w:rPr>
          <w:sz w:val="22"/>
          <w:szCs w:val="22"/>
          <w:lang w:val="ru-RU"/>
        </w:rPr>
      </w:pPr>
      <w:r>
        <w:rPr>
          <w:sz w:val="22"/>
          <w:szCs w:val="22"/>
          <w:lang w:val="ru-RU"/>
        </w:rPr>
        <w:t xml:space="preserve">Додаток </w:t>
      </w:r>
      <w:r>
        <w:rPr>
          <w:sz w:val="22"/>
          <w:szCs w:val="22"/>
          <w:lang w:val="uk-UA"/>
        </w:rPr>
        <w:t>13</w:t>
      </w:r>
    </w:p>
    <w:p>
      <w:pPr>
        <w:pStyle w:val="Normal"/>
        <w:jc w:val="center"/>
        <w:rPr>
          <w:b/>
          <w:b/>
          <w:bCs/>
          <w:sz w:val="22"/>
          <w:szCs w:val="22"/>
          <w:lang w:val="uk-UA"/>
        </w:rPr>
      </w:pPr>
      <w:r>
        <w:rPr>
          <w:b/>
          <w:bCs/>
          <w:sz w:val="22"/>
          <w:szCs w:val="22"/>
          <w:lang w:val="uk-UA"/>
        </w:rPr>
        <w:t>Викиди забруднюючих речовин в атмосферне повітря стаціонарними джерелами забруднення КП «ТЕТ» за 4-й квартал 2024 р.</w:t>
      </w:r>
      <w:r>
        <w:rPr>
          <w:rStyle w:val="Style12"/>
          <w:b/>
          <w:bCs/>
          <w:sz w:val="22"/>
          <w:szCs w:val="22"/>
          <w:lang w:val="uk-UA"/>
        </w:rPr>
        <w:footnoteReference w:id="15"/>
      </w:r>
    </w:p>
    <w:p>
      <w:pPr>
        <w:pStyle w:val="Normal"/>
        <w:jc w:val="center"/>
        <w:rPr>
          <w:b/>
          <w:b/>
          <w:bCs/>
          <w:sz w:val="22"/>
          <w:szCs w:val="22"/>
          <w:lang w:val="uk-UA"/>
        </w:rPr>
      </w:pPr>
      <w:r>
        <w:rPr/>
        <w:drawing>
          <wp:inline distT="0" distB="0" distL="0" distR="0">
            <wp:extent cx="5463540" cy="7275830"/>
            <wp:effectExtent l="0" t="0" r="0" b="0"/>
            <wp:docPr id="49" name="Зображення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Зображення46" descr=""/>
                    <pic:cNvPicPr>
                      <a:picLocks noChangeAspect="1" noChangeArrowheads="1"/>
                    </pic:cNvPicPr>
                  </pic:nvPicPr>
                  <pic:blipFill>
                    <a:blip r:embed="rId54"/>
                    <a:stretch>
                      <a:fillRect/>
                    </a:stretch>
                  </pic:blipFill>
                  <pic:spPr bwMode="auto">
                    <a:xfrm>
                      <a:off x="0" y="0"/>
                      <a:ext cx="5463540" cy="7275830"/>
                    </a:xfrm>
                    <a:prstGeom prst="rect">
                      <a:avLst/>
                    </a:prstGeom>
                  </pic:spPr>
                </pic:pic>
              </a:graphicData>
            </a:graphic>
          </wp:inline>
        </w:drawing>
      </w:r>
    </w:p>
    <w:p>
      <w:pPr>
        <w:pStyle w:val="Normal"/>
        <w:jc w:val="center"/>
        <w:rPr>
          <w:sz w:val="18"/>
          <w:szCs w:val="18"/>
          <w:lang w:val="uk-UA"/>
        </w:rPr>
      </w:pPr>
      <w:r>
        <w:rPr/>
        <w:drawing>
          <wp:inline distT="0" distB="0" distL="0" distR="0">
            <wp:extent cx="6120130" cy="8150225"/>
            <wp:effectExtent l="0" t="0" r="0" b="0"/>
            <wp:docPr id="50" name="Зображення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Зображення47" descr=""/>
                    <pic:cNvPicPr>
                      <a:picLocks noChangeAspect="1" noChangeArrowheads="1"/>
                    </pic:cNvPicPr>
                  </pic:nvPicPr>
                  <pic:blipFill>
                    <a:blip r:embed="rId55"/>
                    <a:stretch>
                      <a:fillRect/>
                    </a:stretch>
                  </pic:blipFill>
                  <pic:spPr bwMode="auto">
                    <a:xfrm>
                      <a:off x="0" y="0"/>
                      <a:ext cx="6120130" cy="8150225"/>
                    </a:xfrm>
                    <a:prstGeom prst="rect">
                      <a:avLst/>
                    </a:prstGeom>
                  </pic:spPr>
                </pic:pic>
              </a:graphicData>
            </a:graphic>
          </wp:inline>
        </w:drawing>
      </w:r>
    </w:p>
    <w:p>
      <w:pPr>
        <w:pStyle w:val="Normal"/>
        <w:suppressAutoHyphens w:val="false"/>
        <w:rPr>
          <w:sz w:val="18"/>
          <w:szCs w:val="18"/>
          <w:lang w:val="uk-UA"/>
        </w:rPr>
      </w:pPr>
      <w:r>
        <w:rPr>
          <w:sz w:val="18"/>
          <w:szCs w:val="18"/>
          <w:lang w:val="uk-UA"/>
        </w:rPr>
      </w:r>
      <w:r>
        <w:br w:type="page"/>
      </w:r>
    </w:p>
    <w:p>
      <w:pPr>
        <w:pStyle w:val="8"/>
        <w:jc w:val="right"/>
        <w:rPr>
          <w:sz w:val="22"/>
          <w:szCs w:val="22"/>
          <w:lang w:val="uk-UA"/>
        </w:rPr>
      </w:pPr>
      <w:r>
        <w:rPr>
          <w:sz w:val="22"/>
          <w:szCs w:val="22"/>
          <w:lang w:val="ru-RU"/>
        </w:rPr>
        <w:t xml:space="preserve">Додаток </w:t>
      </w:r>
      <w:r>
        <w:rPr>
          <w:sz w:val="22"/>
          <w:szCs w:val="22"/>
          <w:lang w:val="uk-UA"/>
        </w:rPr>
        <w:t>14</w:t>
      </w:r>
    </w:p>
    <w:p>
      <w:pPr>
        <w:pStyle w:val="Normal"/>
        <w:jc w:val="center"/>
        <w:rPr>
          <w:b/>
          <w:b/>
          <w:bCs/>
          <w:sz w:val="22"/>
          <w:szCs w:val="22"/>
          <w:lang w:val="uk-UA"/>
        </w:rPr>
      </w:pPr>
      <w:r>
        <w:rPr>
          <w:b/>
          <w:bCs/>
          <w:sz w:val="22"/>
          <w:szCs w:val="22"/>
          <w:lang w:val="uk-UA"/>
        </w:rPr>
        <w:t xml:space="preserve">Звіт про відходи КП «ТЕТ» </w:t>
      </w:r>
    </w:p>
    <w:p>
      <w:pPr>
        <w:pStyle w:val="Normal"/>
        <w:jc w:val="center"/>
        <w:rPr>
          <w:lang w:val="uk-UA"/>
        </w:rPr>
      </w:pPr>
      <w:r>
        <w:rPr/>
        <w:drawing>
          <wp:inline distT="0" distB="0" distL="0" distR="0">
            <wp:extent cx="5902960" cy="6266180"/>
            <wp:effectExtent l="0" t="0" r="0" b="0"/>
            <wp:docPr id="51" name="Зображення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Зображення48" descr=""/>
                    <pic:cNvPicPr>
                      <a:picLocks noChangeAspect="1" noChangeArrowheads="1"/>
                    </pic:cNvPicPr>
                  </pic:nvPicPr>
                  <pic:blipFill>
                    <a:blip r:embed="rId56"/>
                    <a:srcRect l="0" t="0" r="0" b="24995"/>
                    <a:stretch>
                      <a:fillRect/>
                    </a:stretch>
                  </pic:blipFill>
                  <pic:spPr bwMode="auto">
                    <a:xfrm>
                      <a:off x="0" y="0"/>
                      <a:ext cx="5902960" cy="6266180"/>
                    </a:xfrm>
                    <a:prstGeom prst="rect">
                      <a:avLst/>
                    </a:prstGeom>
                  </pic:spPr>
                </pic:pic>
              </a:graphicData>
            </a:graphic>
          </wp:inline>
        </w:drawing>
      </w:r>
      <w:r>
        <w:rPr/>
        <w:t xml:space="preserve"> </w:t>
      </w:r>
    </w:p>
    <w:p>
      <w:pPr>
        <w:pStyle w:val="Normal"/>
        <w:jc w:val="center"/>
        <w:rPr>
          <w:lang w:val="uk-UA"/>
        </w:rPr>
      </w:pPr>
      <w:r>
        <w:rPr/>
        <w:drawing>
          <wp:inline distT="0" distB="0" distL="0" distR="0">
            <wp:extent cx="6120130" cy="8661400"/>
            <wp:effectExtent l="0" t="0" r="0" b="0"/>
            <wp:docPr id="52" name="Зображення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Зображення49" descr=""/>
                    <pic:cNvPicPr>
                      <a:picLocks noChangeAspect="1" noChangeArrowheads="1"/>
                    </pic:cNvPicPr>
                  </pic:nvPicPr>
                  <pic:blipFill>
                    <a:blip r:embed="rId57"/>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53" name="Зображення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Зображення50" descr=""/>
                    <pic:cNvPicPr>
                      <a:picLocks noChangeAspect="1" noChangeArrowheads="1"/>
                    </pic:cNvPicPr>
                  </pic:nvPicPr>
                  <pic:blipFill>
                    <a:blip r:embed="rId58"/>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54" name="Зображення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Зображення51" descr=""/>
                    <pic:cNvPicPr>
                      <a:picLocks noChangeAspect="1" noChangeArrowheads="1"/>
                    </pic:cNvPicPr>
                  </pic:nvPicPr>
                  <pic:blipFill>
                    <a:blip r:embed="rId59"/>
                    <a:stretch>
                      <a:fillRect/>
                    </a:stretch>
                  </pic:blipFill>
                  <pic:spPr bwMode="auto">
                    <a:xfrm>
                      <a:off x="0" y="0"/>
                      <a:ext cx="6120130" cy="8661400"/>
                    </a:xfrm>
                    <a:prstGeom prst="rect">
                      <a:avLst/>
                    </a:prstGeom>
                  </pic:spPr>
                </pic:pic>
              </a:graphicData>
            </a:graphic>
          </wp:inline>
        </w:drawing>
      </w:r>
      <w:r>
        <w:rPr/>
        <w:t xml:space="preserve"> </w:t>
      </w:r>
      <w:r>
        <w:rPr/>
        <w:drawing>
          <wp:inline distT="0" distB="0" distL="0" distR="0">
            <wp:extent cx="6120130" cy="8661400"/>
            <wp:effectExtent l="0" t="0" r="0" b="0"/>
            <wp:docPr id="55" name="Зображення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Зображення52" descr=""/>
                    <pic:cNvPicPr>
                      <a:picLocks noChangeAspect="1" noChangeArrowheads="1"/>
                    </pic:cNvPicPr>
                  </pic:nvPicPr>
                  <pic:blipFill>
                    <a:blip r:embed="rId60"/>
                    <a:stretch>
                      <a:fillRect/>
                    </a:stretch>
                  </pic:blipFill>
                  <pic:spPr bwMode="auto">
                    <a:xfrm>
                      <a:off x="0" y="0"/>
                      <a:ext cx="6120130" cy="8661400"/>
                    </a:xfrm>
                    <a:prstGeom prst="rect">
                      <a:avLst/>
                    </a:prstGeom>
                  </pic:spPr>
                </pic:pic>
              </a:graphicData>
            </a:graphic>
          </wp:inline>
        </w:drawing>
      </w:r>
    </w:p>
    <w:p>
      <w:pPr>
        <w:pStyle w:val="Normal"/>
        <w:jc w:val="center"/>
        <w:rPr>
          <w:lang w:val="uk-UA"/>
        </w:rPr>
      </w:pPr>
      <w:r>
        <w:rPr>
          <w:lang w:val="uk-UA"/>
        </w:rPr>
      </w:r>
    </w:p>
    <w:p>
      <w:pPr>
        <w:pStyle w:val="Normal"/>
        <w:jc w:val="center"/>
        <w:rPr>
          <w:lang w:val="uk-UA"/>
        </w:rPr>
      </w:pPr>
      <w:r>
        <w:rPr>
          <w:lang w:val="uk-UA"/>
        </w:rPr>
      </w:r>
    </w:p>
    <w:p>
      <w:pPr>
        <w:pStyle w:val="Normal"/>
        <w:jc w:val="center"/>
        <w:rPr>
          <w:lang w:val="uk-UA"/>
        </w:rPr>
      </w:pPr>
      <w:r>
        <w:rPr>
          <w:lang w:val="uk-UA"/>
        </w:rPr>
      </w:r>
    </w:p>
    <w:p>
      <w:pPr>
        <w:pStyle w:val="Normal"/>
        <w:jc w:val="right"/>
        <w:rPr>
          <w:lang w:val="uk-UA"/>
        </w:rPr>
      </w:pPr>
      <w:r>
        <w:rPr>
          <w:lang w:val="uk-UA"/>
        </w:rPr>
        <w:t>Додаток 15</w:t>
      </w:r>
    </w:p>
    <w:p>
      <w:pPr>
        <w:pStyle w:val="Normal"/>
        <w:jc w:val="right"/>
        <w:rPr>
          <w:lang w:val="uk-UA"/>
        </w:rPr>
      </w:pPr>
      <w:r>
        <w:rPr>
          <w:lang w:val="uk-UA"/>
        </w:rPr>
      </w:r>
    </w:p>
    <w:p>
      <w:pPr>
        <w:pStyle w:val="Normal"/>
        <w:jc w:val="center"/>
        <w:rPr>
          <w:b/>
          <w:b/>
          <w:bCs/>
          <w:sz w:val="22"/>
          <w:szCs w:val="22"/>
          <w:lang w:val="uk-UA"/>
        </w:rPr>
      </w:pPr>
      <w:r>
        <w:rPr>
          <w:b/>
          <w:bCs/>
          <w:sz w:val="22"/>
          <w:szCs w:val="22"/>
          <w:lang w:val="uk-UA"/>
        </w:rPr>
        <w:t>Звіт про попит на робочу стлу (вакансії)</w:t>
      </w:r>
    </w:p>
    <w:p>
      <w:pPr>
        <w:pStyle w:val="Normal"/>
        <w:jc w:val="center"/>
        <w:rPr>
          <w:lang w:val="uk-UA"/>
        </w:rPr>
      </w:pPr>
      <w:r>
        <w:rPr>
          <w:lang w:val="uk-UA"/>
        </w:rPr>
      </w:r>
    </w:p>
    <w:p>
      <w:pPr>
        <w:pStyle w:val="Normal"/>
        <w:jc w:val="center"/>
        <w:rPr>
          <w:sz w:val="18"/>
          <w:szCs w:val="18"/>
          <w:lang w:val="uk-UA"/>
        </w:rPr>
      </w:pPr>
      <w:r>
        <w:rPr/>
        <w:drawing>
          <wp:inline distT="0" distB="0" distL="0" distR="0">
            <wp:extent cx="5544820" cy="7743190"/>
            <wp:effectExtent l="0" t="0" r="0" b="0"/>
            <wp:docPr id="56" name="Зображення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Зображення53" descr=""/>
                    <pic:cNvPicPr>
                      <a:picLocks noChangeAspect="1" noChangeArrowheads="1"/>
                    </pic:cNvPicPr>
                  </pic:nvPicPr>
                  <pic:blipFill>
                    <a:blip r:embed="rId61"/>
                    <a:srcRect l="36667" t="29277" r="38013" b="7839"/>
                    <a:stretch>
                      <a:fillRect/>
                    </a:stretch>
                  </pic:blipFill>
                  <pic:spPr bwMode="auto">
                    <a:xfrm>
                      <a:off x="0" y="0"/>
                      <a:ext cx="5544820" cy="7743190"/>
                    </a:xfrm>
                    <a:prstGeom prst="rect">
                      <a:avLst/>
                    </a:prstGeom>
                  </pic:spPr>
                </pic:pic>
              </a:graphicData>
            </a:graphic>
          </wp:inline>
        </w:drawing>
      </w:r>
    </w:p>
    <w:p>
      <w:pPr>
        <w:pStyle w:val="Normal"/>
        <w:jc w:val="center"/>
        <w:rPr>
          <w:sz w:val="18"/>
          <w:szCs w:val="18"/>
          <w:lang w:val="uk-UA"/>
        </w:rPr>
      </w:pPr>
      <w:r>
        <w:rPr>
          <w:sz w:val="18"/>
          <w:szCs w:val="18"/>
          <w:lang w:val="uk-UA"/>
        </w:rPr>
      </w:r>
    </w:p>
    <w:p>
      <w:pPr>
        <w:pStyle w:val="Normal"/>
        <w:jc w:val="center"/>
        <w:rPr>
          <w:sz w:val="18"/>
          <w:szCs w:val="18"/>
          <w:lang w:val="uk-UA"/>
        </w:rPr>
      </w:pPr>
      <w:r>
        <w:rPr>
          <w:sz w:val="18"/>
          <w:szCs w:val="18"/>
          <w:lang w:val="uk-UA"/>
        </w:rPr>
      </w:r>
    </w:p>
    <w:p>
      <w:pPr>
        <w:pStyle w:val="Normal"/>
        <w:jc w:val="center"/>
        <w:rPr>
          <w:sz w:val="18"/>
          <w:szCs w:val="18"/>
          <w:lang w:val="uk-UA"/>
        </w:rPr>
      </w:pPr>
      <w:r>
        <w:rPr>
          <w:sz w:val="18"/>
          <w:szCs w:val="18"/>
          <w:lang w:val="uk-UA"/>
        </w:rPr>
      </w:r>
    </w:p>
    <w:p>
      <w:pPr>
        <w:sectPr>
          <w:headerReference w:type="default" r:id="rId62"/>
          <w:footerReference w:type="default" r:id="rId63"/>
          <w:footnotePr>
            <w:numFmt w:val="decimal"/>
          </w:footnotePr>
          <w:type w:val="nextPage"/>
          <w:pgSz w:w="11906" w:h="16838"/>
          <w:pgMar w:left="1134" w:right="1134" w:header="720" w:top="1134" w:footer="709" w:bottom="1134" w:gutter="0"/>
          <w:pgNumType w:fmt="decimal"/>
          <w:formProt w:val="false"/>
          <w:textDirection w:val="lrTb"/>
          <w:docGrid w:type="default" w:linePitch="600" w:charSpace="32768"/>
        </w:sectPr>
        <w:pStyle w:val="Normal"/>
        <w:rPr>
          <w:sz w:val="18"/>
          <w:szCs w:val="18"/>
          <w:lang w:val="uk-UA"/>
        </w:rPr>
      </w:pPr>
      <w:r>
        <w:rPr>
          <w:sz w:val="18"/>
          <w:szCs w:val="18"/>
          <w:lang w:val="uk-UA"/>
        </w:rPr>
      </w:r>
    </w:p>
    <w:p>
      <w:pPr>
        <w:pStyle w:val="Normal"/>
        <w:jc w:val="right"/>
        <w:rPr>
          <w:lang w:val="uk-UA"/>
        </w:rPr>
      </w:pPr>
      <w:r>
        <w:rPr>
          <w:lang w:val="uk-UA"/>
        </w:rPr>
        <w:t>Додаток 15 (продовження)</w:t>
      </w:r>
    </w:p>
    <w:p>
      <w:pPr>
        <w:pStyle w:val="Normal"/>
        <w:jc w:val="right"/>
        <w:rPr>
          <w:lang w:val="uk-UA"/>
        </w:rPr>
      </w:pPr>
      <w:r>
        <w:rPr>
          <w:lang w:val="uk-UA"/>
        </w:rPr>
      </w:r>
    </w:p>
    <w:p>
      <w:pPr>
        <w:sectPr>
          <w:headerReference w:type="default" r:id="rId65"/>
          <w:footerReference w:type="default" r:id="rId66"/>
          <w:footnotePr>
            <w:numFmt w:val="decimal"/>
          </w:footnotePr>
          <w:type w:val="nextPage"/>
          <w:pgSz w:orient="landscape" w:w="16838" w:h="11906"/>
          <w:pgMar w:left="1134" w:right="1134" w:header="720" w:top="1134" w:footer="709" w:bottom="1134" w:gutter="0"/>
          <w:pgNumType w:fmt="decimal"/>
          <w:formProt w:val="false"/>
          <w:textDirection w:val="lrTb"/>
          <w:docGrid w:type="default" w:linePitch="600" w:charSpace="32768"/>
        </w:sectPr>
        <w:pStyle w:val="Normal"/>
        <w:jc w:val="center"/>
        <w:rPr>
          <w:lang w:val="uk-UA"/>
        </w:rPr>
      </w:pPr>
      <w:r>
        <w:rPr/>
        <w:drawing>
          <wp:inline distT="0" distB="0" distL="0" distR="0">
            <wp:extent cx="9032875" cy="5450840"/>
            <wp:effectExtent l="0" t="0" r="0" b="0"/>
            <wp:docPr id="57" name="Зображення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Зображення54" descr=""/>
                    <pic:cNvPicPr>
                      <a:picLocks noChangeAspect="1" noChangeArrowheads="1"/>
                    </pic:cNvPicPr>
                  </pic:nvPicPr>
                  <pic:blipFill>
                    <a:blip r:embed="rId64"/>
                    <a:srcRect l="24576" t="27296" r="27330" b="21105"/>
                    <a:stretch>
                      <a:fillRect/>
                    </a:stretch>
                  </pic:blipFill>
                  <pic:spPr bwMode="auto">
                    <a:xfrm>
                      <a:off x="0" y="0"/>
                      <a:ext cx="9032875" cy="5450840"/>
                    </a:xfrm>
                    <a:prstGeom prst="rect">
                      <a:avLst/>
                    </a:prstGeom>
                  </pic:spPr>
                </pic:pic>
              </a:graphicData>
            </a:graphic>
          </wp:inline>
        </w:drawing>
      </w:r>
    </w:p>
    <w:p>
      <w:pPr>
        <w:pStyle w:val="Normal"/>
        <w:jc w:val="right"/>
        <w:rPr>
          <w:lang w:val="uk-UA"/>
        </w:rPr>
      </w:pPr>
      <w:r>
        <w:rPr>
          <w:lang w:val="uk-UA"/>
        </w:rPr>
        <w:t>Додаток 15 (продовження)</w:t>
      </w:r>
    </w:p>
    <w:p>
      <w:pPr>
        <w:pStyle w:val="Normal"/>
        <w:jc w:val="center"/>
        <w:rPr>
          <w:sz w:val="18"/>
          <w:szCs w:val="18"/>
          <w:lang w:val="uk-UA"/>
        </w:rPr>
      </w:pPr>
      <w:r>
        <w:rPr>
          <w:sz w:val="18"/>
          <w:szCs w:val="18"/>
          <w:lang w:val="uk-UA"/>
        </w:rPr>
      </w:r>
    </w:p>
    <w:p>
      <w:pPr>
        <w:pStyle w:val="Normal"/>
        <w:jc w:val="center"/>
        <w:rPr>
          <w:sz w:val="18"/>
          <w:szCs w:val="18"/>
          <w:lang w:val="uk-UA"/>
        </w:rPr>
      </w:pPr>
      <w:r>
        <w:rPr>
          <w:sz w:val="18"/>
          <w:szCs w:val="18"/>
          <w:lang w:val="uk-UA"/>
        </w:rPr>
      </w:r>
    </w:p>
    <w:p>
      <w:pPr>
        <w:pStyle w:val="Normal"/>
        <w:jc w:val="center"/>
        <w:rPr>
          <w:sz w:val="18"/>
          <w:szCs w:val="18"/>
          <w:lang w:val="uk-UA"/>
        </w:rPr>
      </w:pPr>
      <w:r>
        <w:rPr>
          <w:sz w:val="18"/>
          <w:szCs w:val="18"/>
          <w:lang w:val="uk-UA"/>
        </w:rPr>
      </w:r>
    </w:p>
    <w:p>
      <w:pPr>
        <w:pStyle w:val="Normal"/>
        <w:jc w:val="center"/>
        <w:rPr/>
      </w:pPr>
      <w:r>
        <w:rPr/>
        <w:drawing>
          <wp:inline distT="0" distB="0" distL="0" distR="0">
            <wp:extent cx="9225915" cy="4824095"/>
            <wp:effectExtent l="0" t="0" r="0" b="0"/>
            <wp:docPr id="58"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3" descr=""/>
                    <pic:cNvPicPr>
                      <a:picLocks noChangeAspect="1" noChangeArrowheads="1"/>
                    </pic:cNvPicPr>
                  </pic:nvPicPr>
                  <pic:blipFill>
                    <a:blip r:embed="rId67"/>
                    <a:srcRect l="24767" t="32902" r="25909" b="21245"/>
                    <a:stretch>
                      <a:fillRect/>
                    </a:stretch>
                  </pic:blipFill>
                  <pic:spPr bwMode="auto">
                    <a:xfrm>
                      <a:off x="0" y="0"/>
                      <a:ext cx="9225915" cy="4824095"/>
                    </a:xfrm>
                    <a:prstGeom prst="rect">
                      <a:avLst/>
                    </a:prstGeom>
                  </pic:spPr>
                </pic:pic>
              </a:graphicData>
            </a:graphic>
          </wp:inline>
        </w:drawing>
      </w:r>
    </w:p>
    <w:sectPr>
      <w:headerReference w:type="default" r:id="rId68"/>
      <w:footerReference w:type="default" r:id="rId69"/>
      <w:footnotePr>
        <w:numFmt w:val="decimal"/>
      </w:footnotePr>
      <w:type w:val="nextPage"/>
      <w:pgSz w:orient="landscape" w:w="16838" w:h="11906"/>
      <w:pgMar w:left="1134" w:right="1134" w:header="720" w:top="1134" w:footer="709" w:bottom="1134" w:gutter="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Arial">
    <w:charset w:val="cc"/>
    <w:family w:val="roman"/>
    <w:pitch w:val="variable"/>
  </w:font>
  <w:font w:name="Calibri Light">
    <w:charset w:val="cc"/>
    <w:family w:val="roman"/>
    <w:pitch w:val="variable"/>
  </w:font>
  <w:font w:name="Courier New">
    <w:charset w:val="cc"/>
    <w:family w:val="roman"/>
    <w:pitch w:val="variable"/>
  </w:font>
  <w:font w:name="Wingdings">
    <w:charset w:val="cc"/>
    <w:family w:val="roman"/>
    <w:pitch w:val="variable"/>
  </w:font>
  <w:font w:name="Symbol">
    <w:charset w:val="cc"/>
    <w:family w:val="roman"/>
    <w:pitch w:val="variable"/>
  </w:font>
  <w:font w:name="Calibri">
    <w:charset w:val="cc"/>
    <w:family w:val="roman"/>
    <w:pitch w:val="variable"/>
  </w:font>
  <w:font w:name="Tahoma">
    <w:charset w:val="cc"/>
    <w:family w:val="roman"/>
    <w:pitch w:val="variable"/>
  </w:font>
  <w:font w:name="Arial Black">
    <w:charset w:val="cc"/>
    <w:family w:val="roman"/>
    <w:pitch w:val="variable"/>
  </w:font>
  <w:font w:name="Yu Mincho">
    <w:charset w:val="cc"/>
    <w:family w:val="roman"/>
    <w:pitch w:val="variable"/>
  </w:font>
  <w:font w:name="Liberation Sans">
    <w:altName w:val="Arial"/>
    <w:charset w:val="cc"/>
    <w:family w:val="swiss"/>
    <w:pitch w:val="variable"/>
  </w:font>
  <w:font w:name="Algerian">
    <w:altName w:val="comic"/>
    <w:charset w:val="cc"/>
    <w:family w:val="roman"/>
    <w:pitch w:val="variable"/>
  </w:font>
  <w:font w:name="Helvetica">
    <w:altName w:val="Arial"/>
    <w:charset w:val="cc"/>
    <w:family w:val="roman"/>
    <w:pitch w:val="variable"/>
  </w:font>
  <w:font w:name="Verdana">
    <w:charset w:val="cc"/>
    <w:family w:val="roman"/>
    <w:pitch w:val="variable"/>
  </w:font>
  <w:font w:name="CG Times (WN)">
    <w:charset w:val="cc"/>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 w:name="Arial">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2"/>
      <w:ind w:right="360" w:firstLine="360"/>
      <w:rPr>
        <w:sz w:val="16"/>
        <w:szCs w:val="16"/>
        <w:lang w:val="en-US"/>
      </w:rPr>
    </w:pPr>
    <w:r>
      <w:rPr>
        <w:sz w:val="16"/>
        <w:szCs w:val="16"/>
        <w:lang w:val="en-US"/>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2"/>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2"/>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2"/>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2"/>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Style38"/>
        <w:rPr/>
      </w:pPr>
      <w:r>
        <w:rPr>
          <w:rStyle w:val="Style24"/>
        </w:rPr>
        <w:footnoteRef/>
      </w:r>
      <w:r>
        <w:rPr/>
        <w:t xml:space="preserve"> </w:t>
      </w:r>
      <w:r>
        <w:rPr>
          <w:lang w:val="uk-UA"/>
        </w:rPr>
        <w:t>Більшість даних і показників, котрі характеризують Екологічну та Соціальну Політику ТЕТ, якщо не зазначено інше, у звіті подано за календарний 2024 р., виходячи із даних офіційної звітності підприємства відповідно до чинного законодавства України.</w:t>
      </w:r>
    </w:p>
  </w:footnote>
  <w:footnote w:id="3">
    <w:p>
      <w:pPr>
        <w:pStyle w:val="Style38"/>
        <w:rPr/>
      </w:pPr>
      <w:r>
        <w:rPr>
          <w:rStyle w:val="Style24"/>
        </w:rPr>
        <w:footnoteRef/>
      </w:r>
      <w:r>
        <w:rPr>
          <w:lang w:val="uk-UA"/>
        </w:rPr>
        <w:t xml:space="preserve"> </w:t>
      </w:r>
      <w:r>
        <w:fldChar w:fldCharType="begin"/>
      </w:r>
      <w:r>
        <w:rPr>
          <w:rStyle w:val="Style8"/>
        </w:rPr>
        <w:instrText> HYPERLINK "https://zakon.rada.gov.ua/laws/show/303-2022-п" \l "Text"</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/303-2022-%</w:t>
      </w:r>
      <w:r>
        <w:rPr>
          <w:rStyle w:val="Style8"/>
        </w:rPr>
        <w:t>D</w:t>
      </w:r>
      <w:r>
        <w:rPr>
          <w:rStyle w:val="Style8"/>
          <w:lang w:val="uk-UA"/>
        </w:rPr>
        <w:t>0%</w:t>
      </w:r>
      <w:r>
        <w:rPr>
          <w:rStyle w:val="Style8"/>
        </w:rPr>
        <w:t>BF</w:t>
      </w:r>
      <w:r>
        <w:rPr>
          <w:rStyle w:val="Style8"/>
          <w:lang w:val="uk-UA"/>
        </w:rPr>
        <w:t>#</w:t>
      </w:r>
      <w:r>
        <w:rPr>
          <w:rStyle w:val="Style8"/>
        </w:rPr>
        <w:t>Text</w:t>
      </w:r>
      <w:r>
        <w:rPr>
          <w:lang w:val="uk-UA"/>
        </w:rPr>
        <w:t xml:space="preserve"> </w:t>
      </w:r>
    </w:p>
  </w:footnote>
  <w:footnote w:id="4">
    <w:p>
      <w:pPr>
        <w:pStyle w:val="Style38"/>
        <w:rPr/>
      </w:pPr>
      <w:r>
        <w:rPr>
          <w:rStyle w:val="Style24"/>
        </w:rPr>
        <w:footnoteRef/>
      </w:r>
      <w:r>
        <w:rPr>
          <w:lang w:val="uk-UA"/>
        </w:rPr>
        <w:t xml:space="preserve"> </w:t>
      </w:r>
      <w:r>
        <w:fldChar w:fldCharType="begin"/>
      </w:r>
      <w:r>
        <w:rPr>
          <w:rStyle w:val="Style8"/>
        </w:rPr>
        <w:instrText> HYPERLINK "https://zakon.rada.gov.ua/laws/show/182-2019-п" \l "Text"</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/182-2019-%</w:t>
      </w:r>
      <w:r>
        <w:rPr>
          <w:rStyle w:val="Style8"/>
        </w:rPr>
        <w:t>D</w:t>
      </w:r>
      <w:r>
        <w:rPr>
          <w:rStyle w:val="Style8"/>
          <w:lang w:val="uk-UA"/>
        </w:rPr>
        <w:t>0%</w:t>
      </w:r>
      <w:r>
        <w:rPr>
          <w:rStyle w:val="Style8"/>
        </w:rPr>
        <w:t>BF</w:t>
      </w:r>
      <w:r>
        <w:rPr>
          <w:rStyle w:val="Style8"/>
          <w:lang w:val="uk-UA"/>
        </w:rPr>
        <w:t>#</w:t>
      </w:r>
      <w:r>
        <w:rPr>
          <w:rStyle w:val="Style8"/>
        </w:rPr>
        <w:t>Text</w:t>
      </w:r>
      <w:r>
        <w:rPr>
          <w:lang w:val="uk-UA"/>
        </w:rPr>
        <w:t xml:space="preserve"> </w:t>
      </w:r>
    </w:p>
  </w:footnote>
  <w:footnote w:id="5">
    <w:p>
      <w:pPr>
        <w:pStyle w:val="Style38"/>
        <w:rPr/>
      </w:pPr>
      <w:r>
        <w:rPr>
          <w:rStyle w:val="Style24"/>
        </w:rPr>
        <w:footnoteRef/>
      </w:r>
      <w:r>
        <w:rPr>
          <w:lang w:val="uk-UA"/>
        </w:rPr>
        <w:t xml:space="preserve"> </w:t>
      </w:r>
      <w:r>
        <w:fldChar w:fldCharType="begin"/>
      </w:r>
      <w:r>
        <w:rPr>
          <w:rStyle w:val="Style8"/>
        </w:rPr>
        <w:instrText> HYPERLINK "https://zakon.rada.gov.ua/laws/show/z0056-18" \l "top"</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w:t>
      </w:r>
      <w:r>
        <w:rPr>
          <w:rStyle w:val="Style8"/>
        </w:rPr>
        <w:t>z</w:t>
      </w:r>
      <w:r>
        <w:rPr>
          <w:rStyle w:val="Style8"/>
          <w:lang w:val="uk-UA"/>
        </w:rPr>
        <w:t>0056-18#</w:t>
      </w:r>
      <w:r>
        <w:rPr>
          <w:rStyle w:val="Style8"/>
        </w:rPr>
        <w:t>top</w:t>
      </w:r>
      <w:r>
        <w:rPr>
          <w:lang w:val="uk-UA"/>
        </w:rPr>
        <w:t xml:space="preserve"> </w:t>
      </w:r>
    </w:p>
  </w:footnote>
  <w:footnote w:id="6">
    <w:p>
      <w:pPr>
        <w:pStyle w:val="Style38"/>
        <w:rPr/>
      </w:pPr>
      <w:r>
        <w:rPr>
          <w:rStyle w:val="Style24"/>
        </w:rPr>
        <w:footnoteRef/>
      </w:r>
      <w:r>
        <w:rPr/>
        <w:t xml:space="preserve"> </w:t>
      </w:r>
      <w:r>
        <w:rPr>
          <w:lang w:val="uk-UA"/>
        </w:rPr>
        <w:t>Дані про викиди в атмосферу</w:t>
      </w:r>
      <w:r>
        <w:rPr/>
        <w:t xml:space="preserve"> </w:t>
      </w:r>
      <w:r>
        <w:rPr>
          <w:lang w:val="uk-UA"/>
        </w:rPr>
        <w:t xml:space="preserve">стаціонарними джерелами забруднення </w:t>
      </w:r>
      <w:r>
        <w:rPr>
          <w:bCs/>
          <w:lang w:val="uk-UA"/>
        </w:rPr>
        <w:t>КП «ТЕТ» подано за 4-й квартал 2024 р.</w:t>
      </w:r>
    </w:p>
  </w:footnote>
  <w:footnote w:id="7">
    <w:p>
      <w:pPr>
        <w:pStyle w:val="Style38"/>
        <w:rPr/>
      </w:pPr>
      <w:r>
        <w:rPr>
          <w:rStyle w:val="Style24"/>
        </w:rPr>
        <w:footnoteRef/>
      </w:r>
      <w:r>
        <w:rPr>
          <w:lang w:val="uk-UA"/>
        </w:rPr>
        <w:t xml:space="preserve"> </w:t>
      </w:r>
      <w:r>
        <w:fldChar w:fldCharType="begin"/>
      </w:r>
      <w:r>
        <w:rPr>
          <w:rStyle w:val="Style8"/>
        </w:rPr>
        <w:instrText> HYPERLINK "https://zakon.rada.gov.ua/laws/show/z0764-24" \l "top"</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w:t>
      </w:r>
      <w:r>
        <w:rPr>
          <w:rStyle w:val="Style8"/>
        </w:rPr>
        <w:t>z</w:t>
      </w:r>
      <w:r>
        <w:rPr>
          <w:rStyle w:val="Style8"/>
          <w:lang w:val="uk-UA"/>
        </w:rPr>
        <w:t>0764-24#</w:t>
      </w:r>
      <w:r>
        <w:rPr>
          <w:rStyle w:val="Style8"/>
        </w:rPr>
        <w:t>top</w:t>
      </w:r>
      <w:r>
        <w:rPr>
          <w:lang w:val="uk-UA"/>
        </w:rPr>
        <w:t xml:space="preserve"> </w:t>
      </w:r>
    </w:p>
  </w:footnote>
  <w:footnote w:id="8">
    <w:p>
      <w:pPr>
        <w:pStyle w:val="Style38"/>
        <w:rPr/>
      </w:pPr>
      <w:r>
        <w:rPr>
          <w:rStyle w:val="Style24"/>
        </w:rPr>
        <w:footnoteRef/>
      </w:r>
      <w:r>
        <w:rPr>
          <w:lang w:val="uk-UA"/>
        </w:rPr>
        <w:t xml:space="preserve"> </w:t>
      </w:r>
      <w:hyperlink r:id="rId1">
        <w:r>
          <w:rPr>
            <w:rStyle w:val="Style8"/>
          </w:rPr>
          <w:t>https</w:t>
        </w:r>
        <w:r>
          <w:rPr>
            <w:rStyle w:val="Style8"/>
            <w:lang w:val="uk-UA"/>
          </w:rPr>
          <w:t>://</w:t>
        </w:r>
        <w:r>
          <w:rPr>
            <w:rStyle w:val="Style8"/>
          </w:rPr>
          <w:t>www</w:t>
        </w:r>
        <w:r>
          <w:rPr>
            <w:rStyle w:val="Style8"/>
            <w:lang w:val="uk-UA"/>
          </w:rPr>
          <w:t>.</w:t>
        </w:r>
        <w:r>
          <w:rPr>
            <w:rStyle w:val="Style8"/>
          </w:rPr>
          <w:t>saveecobot</w:t>
        </w:r>
        <w:r>
          <w:rPr>
            <w:rStyle w:val="Style8"/>
            <w:lang w:val="uk-UA"/>
          </w:rPr>
          <w:t>.</w:t>
        </w:r>
        <w:r>
          <w:rPr>
            <w:rStyle w:val="Style8"/>
          </w:rPr>
          <w:t>com</w:t>
        </w:r>
        <w:r>
          <w:rPr>
            <w:rStyle w:val="Style8"/>
            <w:lang w:val="uk-UA"/>
          </w:rPr>
          <w:t>/</w:t>
        </w:r>
        <w:r>
          <w:rPr>
            <w:rStyle w:val="Style8"/>
          </w:rPr>
          <w:t>maps</w:t>
        </w:r>
        <w:r>
          <w:rPr>
            <w:rStyle w:val="Style8"/>
            <w:lang w:val="uk-UA"/>
          </w:rPr>
          <w:t>/</w:t>
        </w:r>
        <w:r>
          <w:rPr>
            <w:rStyle w:val="Style8"/>
          </w:rPr>
          <w:t>ternopil</w:t>
        </w:r>
      </w:hyperlink>
      <w:r>
        <w:rPr>
          <w:lang w:val="uk-UA"/>
        </w:rPr>
        <w:t xml:space="preserve"> </w:t>
      </w:r>
    </w:p>
  </w:footnote>
  <w:footnote w:id="9">
    <w:p>
      <w:pPr>
        <w:pStyle w:val="Style38"/>
        <w:rPr/>
      </w:pPr>
      <w:r>
        <w:rPr>
          <w:rStyle w:val="Style24"/>
        </w:rPr>
        <w:footnoteRef/>
      </w:r>
      <w:r>
        <w:rPr>
          <w:lang w:val="uk-UA"/>
        </w:rPr>
        <w:t xml:space="preserve"> </w:t>
      </w:r>
      <w:r>
        <w:fldChar w:fldCharType="begin"/>
      </w:r>
      <w:r>
        <w:rPr>
          <w:rStyle w:val="Style8"/>
        </w:rPr>
        <w:instrText> HYPERLINK "https://zakon.rada.gov.ua/laws/show/z0322-02" \l "top"</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w:t>
      </w:r>
      <w:r>
        <w:rPr>
          <w:rStyle w:val="Style8"/>
        </w:rPr>
        <w:t>z</w:t>
      </w:r>
      <w:r>
        <w:rPr>
          <w:rStyle w:val="Style8"/>
          <w:lang w:val="uk-UA"/>
        </w:rPr>
        <w:t>0322-02#</w:t>
      </w:r>
      <w:r>
        <w:rPr>
          <w:rStyle w:val="Style8"/>
        </w:rPr>
        <w:t>top</w:t>
      </w:r>
      <w:r>
        <w:rPr>
          <w:lang w:val="uk-UA"/>
        </w:rPr>
        <w:t xml:space="preserve"> </w:t>
      </w:r>
    </w:p>
  </w:footnote>
  <w:footnote w:id="10">
    <w:p>
      <w:pPr>
        <w:pStyle w:val="Style38"/>
        <w:rPr/>
      </w:pPr>
      <w:r>
        <w:rPr>
          <w:rStyle w:val="Style24"/>
        </w:rPr>
        <w:footnoteRef/>
      </w:r>
      <w:r>
        <w:rPr>
          <w:lang w:val="uk-UA"/>
        </w:rPr>
        <w:t xml:space="preserve"> </w:t>
      </w:r>
      <w:r>
        <w:fldChar w:fldCharType="begin"/>
      </w:r>
      <w:r>
        <w:rPr>
          <w:rStyle w:val="Style8"/>
        </w:rPr>
        <w:instrText> HYPERLINK "https://zakon.rada.gov.ua/laws/show/2573-20" \l "Text"</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/2573-20#</w:t>
      </w:r>
      <w:r>
        <w:rPr>
          <w:rStyle w:val="Style8"/>
        </w:rPr>
        <w:t>Text</w:t>
      </w:r>
      <w:r>
        <w:rPr>
          <w:lang w:val="uk-UA"/>
        </w:rPr>
        <w:t xml:space="preserve"> </w:t>
      </w:r>
    </w:p>
  </w:footnote>
  <w:footnote w:id="11">
    <w:p>
      <w:pPr>
        <w:pStyle w:val="Style38"/>
        <w:rPr/>
      </w:pPr>
      <w:r>
        <w:rPr>
          <w:rStyle w:val="Style24"/>
        </w:rPr>
        <w:footnoteRef/>
      </w:r>
      <w:r>
        <w:rPr>
          <w:lang w:val="uk-UA"/>
        </w:rPr>
        <w:t xml:space="preserve"> </w:t>
      </w:r>
      <w:r>
        <w:fldChar w:fldCharType="begin"/>
      </w:r>
      <w:r>
        <w:rPr>
          <w:rStyle w:val="Style8"/>
        </w:rPr>
        <w:instrText> HYPERLINK "https://zakon.rada.gov.ua/laws/show/z0281-19" \l "Text"</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w:t>
      </w:r>
      <w:r>
        <w:rPr>
          <w:rStyle w:val="Style8"/>
        </w:rPr>
        <w:t>z</w:t>
      </w:r>
      <w:r>
        <w:rPr>
          <w:rStyle w:val="Style8"/>
          <w:lang w:val="uk-UA"/>
        </w:rPr>
        <w:t>0281-19#</w:t>
      </w:r>
      <w:r>
        <w:rPr>
          <w:rStyle w:val="Style8"/>
        </w:rPr>
        <w:t>Text</w:t>
      </w:r>
      <w:r>
        <w:rPr>
          <w:lang w:val="uk-UA"/>
        </w:rPr>
        <w:t xml:space="preserve"> </w:t>
      </w:r>
    </w:p>
  </w:footnote>
  <w:footnote w:id="12">
    <w:p>
      <w:pPr>
        <w:pStyle w:val="Style38"/>
        <w:rPr/>
      </w:pPr>
      <w:r>
        <w:rPr>
          <w:rStyle w:val="Style24"/>
        </w:rPr>
        <w:footnoteRef/>
      </w:r>
      <w:r>
        <w:rPr>
          <w:lang w:val="uk-UA"/>
        </w:rPr>
        <w:t xml:space="preserve"> </w:t>
      </w:r>
      <w:r>
        <w:fldChar w:fldCharType="begin"/>
      </w:r>
      <w:r>
        <w:rPr>
          <w:rStyle w:val="Style8"/>
        </w:rPr>
        <w:instrText> HYPERLINK "https://zakon.rada.gov.ua/laws/show/1102-2023-п" \l "Text"</w:instrText>
      </w:r>
      <w:r>
        <w:rPr>
          <w:rStyle w:val="Style8"/>
        </w:rPr>
        <w:fldChar w:fldCharType="separate"/>
      </w:r>
      <w:r>
        <w:rPr>
          <w:rStyle w:val="Style8"/>
        </w:rPr>
        <w:t>https</w:t>
      </w:r>
      <w:r>
        <w:rPr>
          <w:rStyle w:val="Style8"/>
        </w:rPr>
        <w:fldChar w:fldCharType="end"/>
      </w:r>
      <w:r>
        <w:rPr>
          <w:rStyle w:val="Style8"/>
          <w:lang w:val="uk-UA"/>
        </w:rPr>
        <w:t>://</w:t>
      </w:r>
      <w:r>
        <w:rPr>
          <w:rStyle w:val="Style8"/>
        </w:rPr>
        <w:t>zakon</w:t>
      </w:r>
      <w:r>
        <w:rPr>
          <w:rStyle w:val="Style8"/>
          <w:lang w:val="uk-UA"/>
        </w:rPr>
        <w:t>.</w:t>
      </w:r>
      <w:r>
        <w:rPr>
          <w:rStyle w:val="Style8"/>
        </w:rPr>
        <w:t>rada</w:t>
      </w:r>
      <w:r>
        <w:rPr>
          <w:rStyle w:val="Style8"/>
          <w:lang w:val="uk-UA"/>
        </w:rPr>
        <w:t>.</w:t>
      </w:r>
      <w:r>
        <w:rPr>
          <w:rStyle w:val="Style8"/>
        </w:rPr>
        <w:t>gov</w:t>
      </w:r>
      <w:r>
        <w:rPr>
          <w:rStyle w:val="Style8"/>
          <w:lang w:val="uk-UA"/>
        </w:rPr>
        <w:t>.</w:t>
      </w:r>
      <w:r>
        <w:rPr>
          <w:rStyle w:val="Style8"/>
        </w:rPr>
        <w:t>ua</w:t>
      </w:r>
      <w:r>
        <w:rPr>
          <w:rStyle w:val="Style8"/>
          <w:lang w:val="uk-UA"/>
        </w:rPr>
        <w:t>/</w:t>
      </w:r>
      <w:r>
        <w:rPr>
          <w:rStyle w:val="Style8"/>
        </w:rPr>
        <w:t>laws</w:t>
      </w:r>
      <w:r>
        <w:rPr>
          <w:rStyle w:val="Style8"/>
          <w:lang w:val="uk-UA"/>
        </w:rPr>
        <w:t>/</w:t>
      </w:r>
      <w:r>
        <w:rPr>
          <w:rStyle w:val="Style8"/>
        </w:rPr>
        <w:t>show</w:t>
      </w:r>
      <w:r>
        <w:rPr>
          <w:rStyle w:val="Style8"/>
          <w:lang w:val="uk-UA"/>
        </w:rPr>
        <w:t>/1102-2023-%</w:t>
      </w:r>
      <w:r>
        <w:rPr>
          <w:rStyle w:val="Style8"/>
        </w:rPr>
        <w:t>D</w:t>
      </w:r>
      <w:r>
        <w:rPr>
          <w:rStyle w:val="Style8"/>
          <w:lang w:val="uk-UA"/>
        </w:rPr>
        <w:t>0%</w:t>
      </w:r>
      <w:r>
        <w:rPr>
          <w:rStyle w:val="Style8"/>
        </w:rPr>
        <w:t>BF</w:t>
      </w:r>
      <w:r>
        <w:rPr>
          <w:rStyle w:val="Style8"/>
          <w:lang w:val="uk-UA"/>
        </w:rPr>
        <w:t>#</w:t>
      </w:r>
      <w:r>
        <w:rPr>
          <w:rStyle w:val="Style8"/>
        </w:rPr>
        <w:t>Text</w:t>
      </w:r>
      <w:r>
        <w:rPr>
          <w:lang w:val="uk-UA"/>
        </w:rPr>
        <w:t xml:space="preserve"> </w:t>
      </w:r>
    </w:p>
  </w:footnote>
  <w:footnote w:id="13">
    <w:p>
      <w:pPr>
        <w:pStyle w:val="116"/>
        <w:rPr/>
      </w:pPr>
      <w:r>
        <w:rPr>
          <w:rStyle w:val="Style24"/>
        </w:rPr>
        <w:footnoteRef/>
      </w:r>
      <w:r>
        <w:rPr/>
        <w:t xml:space="preserve"> </w:t>
      </w:r>
      <w:r>
        <w:rPr/>
        <w:t xml:space="preserve">Постановою КМУ від 21 липня 2025 р. № 903 Міністерство економіки України перейменоване у Міністерство економіки, довкілля та сільського господарства </w:t>
      </w:r>
      <w:r>
        <w:fldChar w:fldCharType="begin"/>
      </w:r>
      <w:r>
        <w:rPr>
          <w:rStyle w:val="13"/>
        </w:rPr>
        <w:instrText> HYPERLINK "https://zakon.rada.gov.ua/laws/show/903-2025-п" \l "Text"</w:instrText>
      </w:r>
      <w:r>
        <w:rPr>
          <w:rStyle w:val="13"/>
        </w:rPr>
        <w:fldChar w:fldCharType="separate"/>
      </w:r>
      <w:r>
        <w:rPr>
          <w:rStyle w:val="13"/>
        </w:rPr>
        <w:t>https://zakon.rada.gov.ua/laws/show/903-2025-%D0%BF#Text</w:t>
      </w:r>
      <w:r>
        <w:rPr>
          <w:rStyle w:val="13"/>
        </w:rPr>
        <w:fldChar w:fldCharType="end"/>
      </w:r>
    </w:p>
  </w:footnote>
  <w:footnote w:id="14">
    <w:p>
      <w:pPr>
        <w:pStyle w:val="Style38"/>
        <w:rPr/>
      </w:pPr>
      <w:r>
        <w:rPr>
          <w:rStyle w:val="Style24"/>
        </w:rPr>
        <w:footnoteRef/>
      </w:r>
      <w:r>
        <w:rPr>
          <w:lang w:val="uk-UA"/>
        </w:rPr>
        <w:t xml:space="preserve"> </w:t>
      </w:r>
      <w:hyperlink r:id="rId2">
        <w:r>
          <w:rPr>
            <w:rStyle w:val="Style8"/>
          </w:rPr>
          <w:t>https</w:t>
        </w:r>
        <w:r>
          <w:rPr>
            <w:rStyle w:val="Style8"/>
            <w:lang w:val="uk-UA"/>
          </w:rPr>
          <w:t>://</w:t>
        </w:r>
        <w:r>
          <w:rPr>
            <w:rStyle w:val="Style8"/>
          </w:rPr>
          <w:t>www</w:t>
        </w:r>
        <w:r>
          <w:rPr>
            <w:rStyle w:val="Style8"/>
            <w:lang w:val="uk-UA"/>
          </w:rPr>
          <w:t>.</w:t>
        </w:r>
        <w:r>
          <w:rPr>
            <w:rStyle w:val="Style8"/>
          </w:rPr>
          <w:t>saveecobot</w:t>
        </w:r>
        <w:r>
          <w:rPr>
            <w:rStyle w:val="Style8"/>
            <w:lang w:val="uk-UA"/>
          </w:rPr>
          <w:t>.</w:t>
        </w:r>
        <w:r>
          <w:rPr>
            <w:rStyle w:val="Style8"/>
          </w:rPr>
          <w:t>com</w:t>
        </w:r>
        <w:r>
          <w:rPr>
            <w:rStyle w:val="Style8"/>
            <w:lang w:val="uk-UA"/>
          </w:rPr>
          <w:t>/</w:t>
        </w:r>
        <w:r>
          <w:rPr>
            <w:rStyle w:val="Style8"/>
          </w:rPr>
          <w:t>maps</w:t>
        </w:r>
        <w:r>
          <w:rPr>
            <w:rStyle w:val="Style8"/>
            <w:lang w:val="uk-UA"/>
          </w:rPr>
          <w:t>/</w:t>
        </w:r>
        <w:r>
          <w:rPr>
            <w:rStyle w:val="Style8"/>
          </w:rPr>
          <w:t>ternopil</w:t>
        </w:r>
      </w:hyperlink>
    </w:p>
  </w:footnote>
  <w:footnote w:id="15">
    <w:p>
      <w:pPr>
        <w:pStyle w:val="Style38"/>
        <w:jc w:val="both"/>
        <w:rPr/>
      </w:pPr>
      <w:r>
        <w:rPr>
          <w:rStyle w:val="Style24"/>
        </w:rPr>
        <w:footnoteRef/>
      </w:r>
      <w:r>
        <w:rPr>
          <w:lang w:val="uk-UA"/>
        </w:rPr>
        <w:t xml:space="preserve"> </w:t>
      </w:r>
      <w:r>
        <w:rPr>
          <w:lang w:val="uk-UA"/>
        </w:rPr>
        <w:t>Відповідно до наказу Міністерства фінансів України від 17 серпня 2015 року № 715 застосовується такий кодифікатор забруднюючих речовин, що викидаються в атмосферне повітря стаціонарними джерелами забруднення: 243.1.004 – ацетон; 243.1.010 – вуглеводні; 243.1.012 - тверді речовини; 243.1.014 - марганець та його сполуки.</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3"/>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3"/>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3"/>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3"/>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3"/>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Times New Roman" w:hAnsi="Times New Roman" w:cs="Times New Roman" w:hint="default"/>
        <w:sz w:val="22"/>
        <w:b/>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
    <w:lvl w:ilvl="0">
      <w:start w:val="1"/>
      <w:numFmt w:val="bullet"/>
      <w:lvlText w:val="-"/>
      <w:lvlJc w:val="left"/>
      <w:pPr>
        <w:ind w:left="720" w:hanging="360"/>
      </w:pPr>
      <w:rPr>
        <w:rFonts w:ascii="Times New Roman" w:hAnsi="Times New Roman" w:cs="Times New Roman" w:hint="default"/>
        <w:sz w:val="22"/>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
    <w:lvl w:ilvl="0">
      <w:start w:val="1"/>
      <w:numFmt w:val="bullet"/>
      <w:lvlText w:val="-"/>
      <w:lvlJc w:val="left"/>
      <w:pPr>
        <w:ind w:left="720" w:hanging="360"/>
      </w:pPr>
      <w:rPr>
        <w:rFonts w:ascii="Times New Roman" w:hAnsi="Times New Roman" w:cs="Times New Roman" w:hint="default"/>
        <w:sz w:val="22"/>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
    <w:lvl w:ilvl="0">
      <w:start w:val="1"/>
      <w:numFmt w:val="bullet"/>
      <w:lvlText w:val="-"/>
      <w:lvlJc w:val="left"/>
      <w:pPr>
        <w:ind w:left="1429" w:hanging="360"/>
      </w:pPr>
      <w:rPr>
        <w:rFonts w:ascii="Times New Roman" w:hAnsi="Times New Roman" w:cs="Times New Roman" w:hint="default"/>
        <w:sz w:val="22"/>
        <w:rFonts w:cs="Times New Roman"/>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Pr>
    </w:lvl>
  </w:abstractNum>
  <w:abstractNum w:abstractNumId="5">
    <w:lvl w:ilvl="0">
      <w:start w:val="1"/>
      <w:numFmt w:val="bullet"/>
      <w:lvlText w:val=""/>
      <w:lvlJc w:val="left"/>
      <w:pPr>
        <w:ind w:left="852" w:hanging="360"/>
      </w:pPr>
      <w:rPr>
        <w:rFonts w:ascii="Symbol" w:hAnsi="Symbol" w:cs="Symbol" w:hint="default"/>
      </w:rPr>
    </w:lvl>
    <w:lvl w:ilvl="1">
      <w:start w:val="1"/>
      <w:numFmt w:val="bullet"/>
      <w:lvlText w:val="o"/>
      <w:lvlJc w:val="left"/>
      <w:pPr>
        <w:ind w:left="1572" w:hanging="360"/>
      </w:pPr>
      <w:rPr>
        <w:rFonts w:ascii="Courier New" w:hAnsi="Courier New" w:cs="Courier New" w:hint="default"/>
        <w:rFonts w:cs="Courier New"/>
      </w:rPr>
    </w:lvl>
    <w:lvl w:ilvl="2">
      <w:start w:val="1"/>
      <w:numFmt w:val="bullet"/>
      <w:lvlText w:val=""/>
      <w:lvlJc w:val="left"/>
      <w:pPr>
        <w:ind w:left="2292" w:hanging="360"/>
      </w:pPr>
      <w:rPr>
        <w:rFonts w:ascii="Wingdings" w:hAnsi="Wingdings" w:cs="Wingdings" w:hint="default"/>
      </w:rPr>
    </w:lvl>
    <w:lvl w:ilvl="3">
      <w:start w:val="1"/>
      <w:numFmt w:val="bullet"/>
      <w:lvlText w:val=""/>
      <w:lvlJc w:val="left"/>
      <w:pPr>
        <w:ind w:left="3012" w:hanging="360"/>
      </w:pPr>
      <w:rPr>
        <w:rFonts w:ascii="Symbol" w:hAnsi="Symbol" w:cs="Symbol" w:hint="default"/>
      </w:rPr>
    </w:lvl>
    <w:lvl w:ilvl="4">
      <w:start w:val="1"/>
      <w:numFmt w:val="bullet"/>
      <w:lvlText w:val="o"/>
      <w:lvlJc w:val="left"/>
      <w:pPr>
        <w:ind w:left="3732" w:hanging="360"/>
      </w:pPr>
      <w:rPr>
        <w:rFonts w:ascii="Courier New" w:hAnsi="Courier New" w:cs="Courier New" w:hint="default"/>
        <w:rFonts w:cs="Courier New"/>
      </w:rPr>
    </w:lvl>
    <w:lvl w:ilvl="5">
      <w:start w:val="1"/>
      <w:numFmt w:val="bullet"/>
      <w:lvlText w:val=""/>
      <w:lvlJc w:val="left"/>
      <w:pPr>
        <w:ind w:left="4452" w:hanging="360"/>
      </w:pPr>
      <w:rPr>
        <w:rFonts w:ascii="Wingdings" w:hAnsi="Wingdings" w:cs="Wingdings" w:hint="default"/>
      </w:rPr>
    </w:lvl>
    <w:lvl w:ilvl="6">
      <w:start w:val="1"/>
      <w:numFmt w:val="bullet"/>
      <w:lvlText w:val=""/>
      <w:lvlJc w:val="left"/>
      <w:pPr>
        <w:ind w:left="5172" w:hanging="360"/>
      </w:pPr>
      <w:rPr>
        <w:rFonts w:ascii="Symbol" w:hAnsi="Symbol" w:cs="Symbol" w:hint="default"/>
      </w:rPr>
    </w:lvl>
    <w:lvl w:ilvl="7">
      <w:start w:val="1"/>
      <w:numFmt w:val="bullet"/>
      <w:lvlText w:val="o"/>
      <w:lvlJc w:val="left"/>
      <w:pPr>
        <w:ind w:left="5892" w:hanging="360"/>
      </w:pPr>
      <w:rPr>
        <w:rFonts w:ascii="Courier New" w:hAnsi="Courier New" w:cs="Courier New" w:hint="default"/>
        <w:rFonts w:cs="Courier New"/>
      </w:rPr>
    </w:lvl>
    <w:lvl w:ilvl="8">
      <w:start w:val="1"/>
      <w:numFmt w:val="bullet"/>
      <w:lvlText w:val=""/>
      <w:lvlJc w:val="left"/>
      <w:pPr>
        <w:ind w:left="6612" w:hanging="360"/>
      </w:pPr>
      <w:rPr>
        <w:rFonts w:ascii="Wingdings" w:hAnsi="Wingdings" w:cs="Wingdings" w:hint="default"/>
      </w:rPr>
    </w:lvl>
  </w:abstractNum>
  <w:abstractNum w:abstractNumId="6">
    <w:lvl w:ilvl="0">
      <w:start w:val="1"/>
      <w:numFmt w:val="bullet"/>
      <w:lvlText w:val=""/>
      <w:lvlJc w:val="left"/>
      <w:pPr>
        <w:ind w:left="852" w:hanging="360"/>
      </w:pPr>
      <w:rPr>
        <w:rFonts w:ascii="Symbol" w:hAnsi="Symbol" w:cs="Symbol" w:hint="default"/>
      </w:rPr>
    </w:lvl>
    <w:lvl w:ilvl="1">
      <w:start w:val="1"/>
      <w:numFmt w:val="bullet"/>
      <w:lvlText w:val="o"/>
      <w:lvlJc w:val="left"/>
      <w:pPr>
        <w:ind w:left="1572" w:hanging="360"/>
      </w:pPr>
      <w:rPr>
        <w:rFonts w:ascii="Courier New" w:hAnsi="Courier New" w:cs="Courier New" w:hint="default"/>
        <w:rFonts w:cs="Courier New"/>
      </w:rPr>
    </w:lvl>
    <w:lvl w:ilvl="2">
      <w:start w:val="1"/>
      <w:numFmt w:val="bullet"/>
      <w:lvlText w:val=""/>
      <w:lvlJc w:val="left"/>
      <w:pPr>
        <w:ind w:left="2292" w:hanging="360"/>
      </w:pPr>
      <w:rPr>
        <w:rFonts w:ascii="Wingdings" w:hAnsi="Wingdings" w:cs="Wingdings" w:hint="default"/>
      </w:rPr>
    </w:lvl>
    <w:lvl w:ilvl="3">
      <w:start w:val="1"/>
      <w:numFmt w:val="bullet"/>
      <w:lvlText w:val=""/>
      <w:lvlJc w:val="left"/>
      <w:pPr>
        <w:ind w:left="3012" w:hanging="360"/>
      </w:pPr>
      <w:rPr>
        <w:rFonts w:ascii="Symbol" w:hAnsi="Symbol" w:cs="Symbol" w:hint="default"/>
      </w:rPr>
    </w:lvl>
    <w:lvl w:ilvl="4">
      <w:start w:val="1"/>
      <w:numFmt w:val="bullet"/>
      <w:lvlText w:val="o"/>
      <w:lvlJc w:val="left"/>
      <w:pPr>
        <w:ind w:left="3732" w:hanging="360"/>
      </w:pPr>
      <w:rPr>
        <w:rFonts w:ascii="Courier New" w:hAnsi="Courier New" w:cs="Courier New" w:hint="default"/>
        <w:rFonts w:cs="Courier New"/>
      </w:rPr>
    </w:lvl>
    <w:lvl w:ilvl="5">
      <w:start w:val="1"/>
      <w:numFmt w:val="bullet"/>
      <w:lvlText w:val=""/>
      <w:lvlJc w:val="left"/>
      <w:pPr>
        <w:ind w:left="4452" w:hanging="360"/>
      </w:pPr>
      <w:rPr>
        <w:rFonts w:ascii="Wingdings" w:hAnsi="Wingdings" w:cs="Wingdings" w:hint="default"/>
      </w:rPr>
    </w:lvl>
    <w:lvl w:ilvl="6">
      <w:start w:val="1"/>
      <w:numFmt w:val="bullet"/>
      <w:lvlText w:val=""/>
      <w:lvlJc w:val="left"/>
      <w:pPr>
        <w:ind w:left="5172" w:hanging="360"/>
      </w:pPr>
      <w:rPr>
        <w:rFonts w:ascii="Symbol" w:hAnsi="Symbol" w:cs="Symbol" w:hint="default"/>
      </w:rPr>
    </w:lvl>
    <w:lvl w:ilvl="7">
      <w:start w:val="1"/>
      <w:numFmt w:val="bullet"/>
      <w:lvlText w:val="o"/>
      <w:lvlJc w:val="left"/>
      <w:pPr>
        <w:ind w:left="5892" w:hanging="360"/>
      </w:pPr>
      <w:rPr>
        <w:rFonts w:ascii="Courier New" w:hAnsi="Courier New" w:cs="Courier New" w:hint="default"/>
        <w:rFonts w:cs="Courier New"/>
      </w:rPr>
    </w:lvl>
    <w:lvl w:ilvl="8">
      <w:start w:val="1"/>
      <w:numFmt w:val="bullet"/>
      <w:lvlText w:val=""/>
      <w:lvlJc w:val="left"/>
      <w:pPr>
        <w:ind w:left="6612" w:hanging="360"/>
      </w:pPr>
      <w:rPr>
        <w:rFonts w:ascii="Wingdings" w:hAnsi="Wingdings" w:cs="Wingdings" w:hint="default"/>
      </w:rPr>
    </w:lvl>
  </w:abstractNum>
  <w:abstractNum w:abstractNumId="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8">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Fonts w:cs="Courier New"/>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Fonts w:cs="Courier New"/>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Fonts w:cs="Courier New"/>
      </w:rPr>
    </w:lvl>
    <w:lvl w:ilvl="8">
      <w:start w:val="1"/>
      <w:numFmt w:val="bullet"/>
      <w:lvlText w:val=""/>
      <w:lvlJc w:val="left"/>
      <w:pPr>
        <w:ind w:left="6840" w:hanging="360"/>
      </w:pPr>
      <w:rPr>
        <w:rFonts w:ascii="Wingdings" w:hAnsi="Wingdings" w:cs="Wingdings" w:hint="default"/>
      </w:rPr>
    </w:lvl>
  </w:abstractNum>
  <w:abstractNum w:abstractNumId="9">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0">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1">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w="http://schemas.openxmlformats.org/wordprocessingml/2006/main">
  <w:zoom w:percent="120"/>
  <w:displayBackgroundShape/>
  <w:embedSystemFonts/>
  <w:defaultTabStop w:val="708"/>
  <w:autoHyphenation w:val="fals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uk-UA"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uk-UA" w:eastAsia="uk-UA"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qFormat="1"/>
    <w:lsdException w:name="heading 6" w:uiPriority="9" w:semiHidden="1" w:unhideWhenUsed="1" w:qFormat="1"/>
    <w:lsdException w:name="heading 7" w:uiPriority="9"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0" w:semiHidden="1" w:unhideWhenUsed="1"/>
    <w:lsdException w:name="toc 8" w:uiPriority="39" w:semiHidden="1" w:unhideWhenUsed="1"/>
    <w:lsdException w:name="toc 9" w:uiPriority="0"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35130"/>
    <w:pPr>
      <w:widowControl/>
      <w:suppressAutoHyphens w:val="true"/>
      <w:bidi w:val="0"/>
      <w:jc w:val="left"/>
    </w:pPr>
    <w:rPr>
      <w:rFonts w:ascii="Times New Roman" w:hAnsi="Times New Roman" w:eastAsia="Times New Roman" w:cs="Times New Roman"/>
      <w:color w:val="auto"/>
      <w:kern w:val="0"/>
      <w:sz w:val="24"/>
      <w:szCs w:val="24"/>
      <w:lang w:val="ru-RU" w:eastAsia="ar-SA" w:bidi="ar-SA"/>
    </w:rPr>
  </w:style>
  <w:style w:type="paragraph" w:styleId="1">
    <w:name w:val="Heading 1"/>
    <w:basedOn w:val="Normal"/>
    <w:next w:val="Normal"/>
    <w:link w:val="10"/>
    <w:autoRedefine/>
    <w:uiPriority w:val="9"/>
    <w:qFormat/>
    <w:rsid w:val="00ad4544"/>
    <w:pPr>
      <w:keepNext w:val="true"/>
      <w:keepLines/>
      <w:suppressAutoHyphens w:val="false"/>
      <w:spacing w:lineRule="auto" w:line="276" w:before="180" w:after="180"/>
      <w:ind w:left="567" w:hanging="567"/>
      <w:jc w:val="both"/>
      <w:outlineLvl w:val="0"/>
    </w:pPr>
    <w:rPr>
      <w:rFonts w:ascii="Arial" w:hAnsi="Arial" w:eastAsia="" w:cs="" w:cstheme="majorBidi" w:eastAsiaTheme="majorEastAsia"/>
      <w:b/>
      <w:caps/>
      <w:color w:val="A6005C"/>
      <w:szCs w:val="32"/>
      <w:lang w:val="uk-UA" w:eastAsia="en-US"/>
    </w:rPr>
  </w:style>
  <w:style w:type="paragraph" w:styleId="2">
    <w:name w:val="Heading 2"/>
    <w:basedOn w:val="Normal"/>
    <w:next w:val="Normal"/>
    <w:link w:val="20"/>
    <w:unhideWhenUsed/>
    <w:qFormat/>
    <w:rsid w:val="00ad4544"/>
    <w:pPr>
      <w:keepNext w:val="true"/>
      <w:keepLines/>
      <w:suppressAutoHyphens w:val="false"/>
      <w:spacing w:lineRule="auto" w:line="276" w:before="240" w:after="120"/>
      <w:ind w:left="567" w:hanging="567"/>
      <w:jc w:val="both"/>
      <w:outlineLvl w:val="1"/>
    </w:pPr>
    <w:rPr>
      <w:rFonts w:ascii="Arial" w:hAnsi="Arial" w:eastAsia="" w:cs="" w:cstheme="majorBidi" w:eastAsiaTheme="majorEastAsia"/>
      <w:b/>
      <w:smallCaps/>
      <w:color w:val="A6005C"/>
      <w:sz w:val="22"/>
      <w:szCs w:val="26"/>
      <w:lang w:val="uk-UA" w:eastAsia="en-US"/>
    </w:rPr>
  </w:style>
  <w:style w:type="paragraph" w:styleId="3">
    <w:name w:val="Heading 3"/>
    <w:basedOn w:val="Normal"/>
    <w:next w:val="Normal"/>
    <w:link w:val="30"/>
    <w:uiPriority w:val="9"/>
    <w:unhideWhenUsed/>
    <w:qFormat/>
    <w:rsid w:val="000c4853"/>
    <w:pPr>
      <w:keepNext w:val="true"/>
      <w:keepLines/>
      <w:spacing w:before="40" w:after="0"/>
      <w:outlineLvl w:val="2"/>
    </w:pPr>
    <w:rPr>
      <w:rFonts w:ascii="Calibri Light" w:hAnsi="Calibri Light" w:eastAsia="" w:cs="" w:asciiTheme="majorHAnsi" w:cstheme="majorBidi" w:eastAsiaTheme="majorEastAsia" w:hAnsiTheme="majorHAnsi"/>
      <w:color w:val="1F3763" w:themeColor="accent1" w:themeShade="7f"/>
    </w:rPr>
  </w:style>
  <w:style w:type="paragraph" w:styleId="4">
    <w:name w:val="Heading 4"/>
    <w:basedOn w:val="Normal"/>
    <w:next w:val="Normal"/>
    <w:link w:val="40"/>
    <w:uiPriority w:val="9"/>
    <w:unhideWhenUsed/>
    <w:qFormat/>
    <w:rsid w:val="00ad4544"/>
    <w:pPr>
      <w:keepNext w:val="true"/>
      <w:keepLines/>
      <w:suppressAutoHyphens w:val="false"/>
      <w:spacing w:lineRule="auto" w:line="276" w:before="60" w:after="60"/>
      <w:jc w:val="both"/>
      <w:outlineLvl w:val="3"/>
    </w:pPr>
    <w:rPr>
      <w:rFonts w:ascii="Arial" w:hAnsi="Arial" w:eastAsia="" w:cs="" w:cstheme="majorBidi" w:eastAsiaTheme="majorEastAsia"/>
      <w:iCs/>
      <w:color w:val="0D0D0D" w:themeColor="text1" w:themeTint="f2"/>
      <w:sz w:val="22"/>
      <w:szCs w:val="22"/>
      <w:lang w:val="uk-UA" w:eastAsia="en-US"/>
    </w:rPr>
  </w:style>
  <w:style w:type="paragraph" w:styleId="5">
    <w:name w:val="Heading 5"/>
    <w:basedOn w:val="Normal"/>
    <w:next w:val="Normal"/>
    <w:link w:val="50"/>
    <w:uiPriority w:val="9"/>
    <w:qFormat/>
    <w:pPr>
      <w:keepNext w:val="true"/>
      <w:pBdr>
        <w:top w:val="single" w:sz="4" w:space="1" w:color="000000"/>
        <w:left w:val="single" w:sz="4" w:space="0" w:color="000000"/>
        <w:bottom w:val="single" w:sz="4" w:space="1" w:color="000000"/>
        <w:right w:val="single" w:sz="4" w:space="4" w:color="000000"/>
      </w:pBdr>
      <w:shd w:val="clear" w:color="auto" w:fill="000080"/>
      <w:tabs>
        <w:tab w:val="clear" w:pos="708"/>
        <w:tab w:val="left" w:pos="1008" w:leader="none"/>
      </w:tabs>
      <w:ind w:left="1008" w:hanging="1008"/>
      <w:outlineLvl w:val="4"/>
    </w:pPr>
    <w:rPr>
      <w:b/>
      <w:color w:val="FFFFFF"/>
      <w:sz w:val="22"/>
      <w:szCs w:val="20"/>
      <w:lang w:val="en-GB"/>
    </w:rPr>
  </w:style>
  <w:style w:type="paragraph" w:styleId="8">
    <w:name w:val="Heading 8"/>
    <w:basedOn w:val="Normal"/>
    <w:next w:val="Normal"/>
    <w:link w:val="80"/>
    <w:qFormat/>
    <w:rsid w:val="00ad4544"/>
    <w:pPr>
      <w:keepNext w:val="true"/>
      <w:suppressAutoHyphens w:val="false"/>
      <w:ind w:left="720" w:hanging="720"/>
      <w:jc w:val="both"/>
      <w:outlineLvl w:val="7"/>
    </w:pPr>
    <w:rPr>
      <w:b/>
      <w:bCs/>
      <w:lang w:val="en-US" w:eastAsia="en-US"/>
    </w:rPr>
  </w:style>
  <w:style w:type="paragraph" w:styleId="9">
    <w:name w:val="Heading 9"/>
    <w:basedOn w:val="Normal"/>
    <w:next w:val="Normal"/>
    <w:link w:val="90"/>
    <w:qFormat/>
    <w:rsid w:val="00ad4544"/>
    <w:pPr>
      <w:keepNext w:val="true"/>
      <w:suppressAutoHyphens w:val="false"/>
      <w:ind w:left="720" w:hanging="720"/>
      <w:outlineLvl w:val="8"/>
    </w:pPr>
    <w:rPr>
      <w:b/>
      <w:bCs/>
      <w:lang w:val="en-US" w:eastAsia="en-US"/>
    </w:rPr>
  </w:style>
  <w:style w:type="character" w:styleId="DefaultParagraphFont" w:default="1">
    <w:name w:val="Default Paragraph Font"/>
    <w:uiPriority w:val="1"/>
    <w:semiHidden/>
    <w:unhideWhenUsed/>
    <w:qFormat/>
    <w:rPr/>
  </w:style>
  <w:style w:type="character" w:styleId="WW8Num1z0" w:customStyle="1">
    <w:name w:val="WW8Num1z0"/>
    <w:qFormat/>
    <w:rPr/>
  </w:style>
  <w:style w:type="character" w:styleId="WW8Num1z1" w:customStyle="1">
    <w:name w:val="WW8Num1z1"/>
    <w:qFormat/>
    <w:rPr/>
  </w:style>
  <w:style w:type="character" w:styleId="WW8Num1z2" w:customStyle="1">
    <w:name w:val="WW8Num1z2"/>
    <w:qFormat/>
    <w:rPr/>
  </w:style>
  <w:style w:type="character" w:styleId="WW8Num1z3" w:customStyle="1">
    <w:name w:val="WW8Num1z3"/>
    <w:qFormat/>
    <w:rPr/>
  </w:style>
  <w:style w:type="character" w:styleId="WW8Num1z4" w:customStyle="1">
    <w:name w:val="WW8Num1z4"/>
    <w:qFormat/>
    <w:rPr/>
  </w:style>
  <w:style w:type="character" w:styleId="WW8Num1z5" w:customStyle="1">
    <w:name w:val="WW8Num1z5"/>
    <w:qFormat/>
    <w:rPr/>
  </w:style>
  <w:style w:type="character" w:styleId="WW8Num1z6" w:customStyle="1">
    <w:name w:val="WW8Num1z6"/>
    <w:qFormat/>
    <w:rPr/>
  </w:style>
  <w:style w:type="character" w:styleId="WW8Num1z7" w:customStyle="1">
    <w:name w:val="WW8Num1z7"/>
    <w:qFormat/>
    <w:rPr/>
  </w:style>
  <w:style w:type="character" w:styleId="WW8Num1z8" w:customStyle="1">
    <w:name w:val="WW8Num1z8"/>
    <w:qFormat/>
    <w:rPr/>
  </w:style>
  <w:style w:type="character" w:styleId="WW8Num2z0" w:customStyle="1">
    <w:name w:val="WW8Num2z0"/>
    <w:qFormat/>
    <w:rPr>
      <w:rFonts w:ascii="Times New Roman" w:hAnsi="Times New Roman" w:eastAsia="Times New Roman" w:cs="Times New Roman"/>
    </w:rPr>
  </w:style>
  <w:style w:type="character" w:styleId="WW8Num2z1" w:customStyle="1">
    <w:name w:val="WW8Num2z1"/>
    <w:qFormat/>
    <w:rPr>
      <w:rFonts w:ascii="Courier New" w:hAnsi="Courier New" w:cs="Courier New"/>
    </w:rPr>
  </w:style>
  <w:style w:type="character" w:styleId="WW8Num2z2" w:customStyle="1">
    <w:name w:val="WW8Num2z2"/>
    <w:qFormat/>
    <w:rPr>
      <w:rFonts w:ascii="Wingdings" w:hAnsi="Wingdings" w:cs="Wingdings"/>
    </w:rPr>
  </w:style>
  <w:style w:type="character" w:styleId="WW8Num2z3" w:customStyle="1">
    <w:name w:val="WW8Num2z3"/>
    <w:qFormat/>
    <w:rPr>
      <w:rFonts w:ascii="Symbol" w:hAnsi="Symbol" w:cs="Symbol"/>
    </w:rPr>
  </w:style>
  <w:style w:type="character" w:styleId="WW8Num3z0" w:customStyle="1">
    <w:name w:val="WW8Num3z0"/>
    <w:qFormat/>
    <w:rPr>
      <w:rFonts w:ascii="Symbol" w:hAnsi="Symbol" w:cs="Symbol"/>
    </w:rPr>
  </w:style>
  <w:style w:type="character" w:styleId="WW8Num3z1" w:customStyle="1">
    <w:name w:val="WW8Num3z1"/>
    <w:qFormat/>
    <w:rPr>
      <w:rFonts w:ascii="Courier New" w:hAnsi="Courier New" w:cs="Courier New"/>
    </w:rPr>
  </w:style>
  <w:style w:type="character" w:styleId="WW8Num3z2" w:customStyle="1">
    <w:name w:val="WW8Num3z2"/>
    <w:qFormat/>
    <w:rPr>
      <w:rFonts w:ascii="Wingdings" w:hAnsi="Wingdings" w:cs="Wingdings"/>
    </w:rPr>
  </w:style>
  <w:style w:type="character" w:styleId="WW8Num4z0" w:customStyle="1">
    <w:name w:val="WW8Num4z0"/>
    <w:qFormat/>
    <w:rPr/>
  </w:style>
  <w:style w:type="character" w:styleId="WW8Num5z0" w:customStyle="1">
    <w:name w:val="WW8Num5z0"/>
    <w:qFormat/>
    <w:rPr>
      <w:rFonts w:ascii="Arial" w:hAnsi="Arial" w:eastAsia="Times New Roman" w:cs="Arial"/>
    </w:rPr>
  </w:style>
  <w:style w:type="character" w:styleId="WW8Num5z1" w:customStyle="1">
    <w:name w:val="WW8Num5z1"/>
    <w:qFormat/>
    <w:rPr>
      <w:rFonts w:ascii="Courier New" w:hAnsi="Courier New" w:cs="Courier New"/>
    </w:rPr>
  </w:style>
  <w:style w:type="character" w:styleId="WW8Num5z2" w:customStyle="1">
    <w:name w:val="WW8Num5z2"/>
    <w:qFormat/>
    <w:rPr>
      <w:rFonts w:ascii="Wingdings" w:hAnsi="Wingdings" w:cs="Wingdings"/>
    </w:rPr>
  </w:style>
  <w:style w:type="character" w:styleId="WW8Num5z3" w:customStyle="1">
    <w:name w:val="WW8Num5z3"/>
    <w:qFormat/>
    <w:rPr>
      <w:rFonts w:ascii="Symbol" w:hAnsi="Symbol" w:cs="Symbol"/>
    </w:rPr>
  </w:style>
  <w:style w:type="character" w:styleId="11" w:customStyle="1">
    <w:name w:val="Основной шрифт абзаца1"/>
    <w:qFormat/>
    <w:rPr/>
  </w:style>
  <w:style w:type="character" w:styleId="Hps" w:customStyle="1">
    <w:name w:val="hps"/>
    <w:basedOn w:val="11"/>
    <w:qFormat/>
    <w:rPr/>
  </w:style>
  <w:style w:type="character" w:styleId="Pagenumber">
    <w:name w:val="page number"/>
    <w:basedOn w:val="11"/>
    <w:qFormat/>
    <w:rPr/>
  </w:style>
  <w:style w:type="character" w:styleId="Style7" w:customStyle="1">
    <w:name w:val="Основной текст Знак"/>
    <w:qFormat/>
    <w:rPr>
      <w:sz w:val="24"/>
      <w:szCs w:val="24"/>
    </w:rPr>
  </w:style>
  <w:style w:type="character" w:styleId="FontStyle26" w:customStyle="1">
    <w:name w:val="Font Style26"/>
    <w:qFormat/>
    <w:rPr>
      <w:rFonts w:ascii="Times New Roman" w:hAnsi="Times New Roman" w:cs="Times New Roman"/>
      <w:sz w:val="26"/>
      <w:szCs w:val="26"/>
    </w:rPr>
  </w:style>
  <w:style w:type="character" w:styleId="Appleconvertedspace" w:customStyle="1">
    <w:name w:val="apple-converted-space"/>
    <w:qFormat/>
    <w:rPr/>
  </w:style>
  <w:style w:type="character" w:styleId="Style8">
    <w:name w:val="Гіперпосилання"/>
    <w:uiPriority w:val="99"/>
    <w:rPr>
      <w:color w:val="0000FF"/>
      <w:u w:val="single"/>
    </w:rPr>
  </w:style>
  <w:style w:type="character" w:styleId="Strong">
    <w:name w:val="Strong"/>
    <w:uiPriority w:val="22"/>
    <w:qFormat/>
    <w:rPr>
      <w:b/>
      <w:bCs/>
    </w:rPr>
  </w:style>
  <w:style w:type="character" w:styleId="12" w:customStyle="1">
    <w:name w:val="Знак примечания1"/>
    <w:qFormat/>
    <w:rPr>
      <w:sz w:val="16"/>
      <w:szCs w:val="16"/>
    </w:rPr>
  </w:style>
  <w:style w:type="character" w:styleId="Style9" w:customStyle="1">
    <w:name w:val="Текст примечания Знак"/>
    <w:qFormat/>
    <w:rPr>
      <w:lang w:val="ru-RU"/>
    </w:rPr>
  </w:style>
  <w:style w:type="character" w:styleId="Style10" w:customStyle="1">
    <w:name w:val="Тема примечания Знак"/>
    <w:qFormat/>
    <w:rPr>
      <w:b/>
      <w:bCs/>
      <w:lang w:val="ru-RU"/>
    </w:rPr>
  </w:style>
  <w:style w:type="character" w:styleId="Style11" w:customStyle="1">
    <w:name w:val="Основной текст с отступом Знак"/>
    <w:qFormat/>
    <w:rPr>
      <w:sz w:val="24"/>
      <w:szCs w:val="28"/>
    </w:rPr>
  </w:style>
  <w:style w:type="character" w:styleId="13" w:customStyle="1">
    <w:name w:val="Гиперссылка1"/>
    <w:basedOn w:val="DefaultParagraphFont"/>
    <w:qFormat/>
    <w:rsid w:val="00743b70"/>
    <w:rPr>
      <w:color w:val="0000FF"/>
      <w:u w:val="single"/>
    </w:rPr>
  </w:style>
  <w:style w:type="character" w:styleId="Style12">
    <w:name w:val="Прив'язка виноски"/>
    <w:rPr>
      <w:vertAlign w:val="superscript"/>
    </w:rPr>
  </w:style>
  <w:style w:type="character" w:styleId="FootnoteCharacters">
    <w:name w:val="Footnote Characters"/>
    <w:basedOn w:val="DefaultParagraphFont"/>
    <w:uiPriority w:val="99"/>
    <w:unhideWhenUsed/>
    <w:qFormat/>
    <w:rsid w:val="00743b70"/>
    <w:rPr>
      <w:vertAlign w:val="superscript"/>
    </w:rPr>
  </w:style>
  <w:style w:type="character" w:styleId="14" w:customStyle="1">
    <w:name w:val="Неразрешенное упоминание1"/>
    <w:basedOn w:val="DefaultParagraphFont"/>
    <w:uiPriority w:val="99"/>
    <w:semiHidden/>
    <w:unhideWhenUsed/>
    <w:qFormat/>
    <w:rsid w:val="00ad4544"/>
    <w:rPr/>
  </w:style>
  <w:style w:type="character" w:styleId="Style13" w:customStyle="1">
    <w:name w:val="Текст сноски Знак"/>
    <w:basedOn w:val="DefaultParagraphFont"/>
    <w:link w:val="afc"/>
    <w:uiPriority w:val="99"/>
    <w:qFormat/>
    <w:rsid w:val="0011378d"/>
    <w:rPr>
      <w:lang w:val="ru-RU" w:eastAsia="ar-SA"/>
    </w:rPr>
  </w:style>
  <w:style w:type="character" w:styleId="31" w:customStyle="1">
    <w:name w:val="Заголовок 3 Знак"/>
    <w:basedOn w:val="DefaultParagraphFont"/>
    <w:link w:val="3"/>
    <w:uiPriority w:val="9"/>
    <w:qFormat/>
    <w:rsid w:val="000c4853"/>
    <w:rPr>
      <w:rFonts w:ascii="Calibri Light" w:hAnsi="Calibri Light" w:eastAsia="" w:cs="" w:asciiTheme="majorHAnsi" w:cstheme="majorBidi" w:eastAsiaTheme="majorEastAsia" w:hAnsiTheme="majorHAnsi"/>
      <w:color w:val="1F3763" w:themeColor="accent1" w:themeShade="7f"/>
      <w:sz w:val="24"/>
      <w:szCs w:val="24"/>
      <w:lang w:val="ru-RU" w:eastAsia="ar-SA"/>
    </w:rPr>
  </w:style>
  <w:style w:type="character" w:styleId="15" w:customStyle="1">
    <w:name w:val="Заголовок 1 Знак"/>
    <w:basedOn w:val="DefaultParagraphFont"/>
    <w:link w:val="1"/>
    <w:uiPriority w:val="9"/>
    <w:qFormat/>
    <w:rsid w:val="00ad4544"/>
    <w:rPr>
      <w:rFonts w:ascii="Arial" w:hAnsi="Arial" w:eastAsia="" w:cs="" w:cstheme="majorBidi" w:eastAsiaTheme="majorEastAsia"/>
      <w:b/>
      <w:caps/>
      <w:color w:val="A6005C"/>
      <w:sz w:val="24"/>
      <w:szCs w:val="32"/>
      <w:lang w:eastAsia="en-US"/>
    </w:rPr>
  </w:style>
  <w:style w:type="character" w:styleId="21" w:customStyle="1">
    <w:name w:val="Заголовок 2 Знак"/>
    <w:basedOn w:val="DefaultParagraphFont"/>
    <w:link w:val="2"/>
    <w:qFormat/>
    <w:rsid w:val="00ad4544"/>
    <w:rPr>
      <w:rFonts w:ascii="Arial" w:hAnsi="Arial" w:eastAsia="" w:cs="" w:cstheme="majorBidi" w:eastAsiaTheme="majorEastAsia"/>
      <w:b/>
      <w:smallCaps/>
      <w:color w:val="A6005C"/>
      <w:sz w:val="22"/>
      <w:szCs w:val="26"/>
      <w:lang w:eastAsia="en-US"/>
    </w:rPr>
  </w:style>
  <w:style w:type="character" w:styleId="41" w:customStyle="1">
    <w:name w:val="Заголовок 4 Знак"/>
    <w:basedOn w:val="DefaultParagraphFont"/>
    <w:link w:val="4"/>
    <w:uiPriority w:val="9"/>
    <w:qFormat/>
    <w:rsid w:val="00ad4544"/>
    <w:rPr>
      <w:rFonts w:ascii="Arial" w:hAnsi="Arial" w:eastAsia="" w:cs="" w:cstheme="majorBidi" w:eastAsiaTheme="majorEastAsia"/>
      <w:iCs/>
      <w:color w:val="0D0D0D" w:themeColor="text1" w:themeTint="f2"/>
      <w:sz w:val="22"/>
      <w:szCs w:val="22"/>
      <w:lang w:eastAsia="en-US"/>
    </w:rPr>
  </w:style>
  <w:style w:type="character" w:styleId="81" w:customStyle="1">
    <w:name w:val="Заголовок 8 Знак"/>
    <w:basedOn w:val="DefaultParagraphFont"/>
    <w:link w:val="8"/>
    <w:qFormat/>
    <w:rsid w:val="00ad4544"/>
    <w:rPr>
      <w:b/>
      <w:bCs/>
      <w:sz w:val="24"/>
      <w:szCs w:val="24"/>
      <w:lang w:val="en-US" w:eastAsia="en-US"/>
    </w:rPr>
  </w:style>
  <w:style w:type="character" w:styleId="91" w:customStyle="1">
    <w:name w:val="Заголовок 9 Знак"/>
    <w:basedOn w:val="DefaultParagraphFont"/>
    <w:link w:val="9"/>
    <w:qFormat/>
    <w:rsid w:val="00ad4544"/>
    <w:rPr>
      <w:b/>
      <w:bCs/>
      <w:sz w:val="24"/>
      <w:szCs w:val="24"/>
      <w:lang w:val="en-US" w:eastAsia="en-US"/>
    </w:rPr>
  </w:style>
  <w:style w:type="character" w:styleId="51" w:customStyle="1">
    <w:name w:val="Заголовок 5 Знак"/>
    <w:basedOn w:val="DefaultParagraphFont"/>
    <w:link w:val="5"/>
    <w:uiPriority w:val="9"/>
    <w:qFormat/>
    <w:rsid w:val="00ad4544"/>
    <w:rPr>
      <w:color w:val="FFFFFF"/>
      <w:sz w:val="22"/>
      <w:shd w:fill="000080" w:val="clear"/>
      <w:lang w:val="en-GB" w:eastAsia="ar-SA"/>
    </w:rPr>
  </w:style>
  <w:style w:type="character" w:styleId="Fontstyle01" w:customStyle="1">
    <w:name w:val="fontstyle01"/>
    <w:basedOn w:val="DefaultParagraphFont"/>
    <w:qFormat/>
    <w:rsid w:val="00ad4544"/>
    <w:rPr>
      <w:rFonts w:ascii="Calibri" w:hAnsi="Calibri" w:cs="Calibri"/>
      <w:b w:val="false"/>
      <w:bCs w:val="false"/>
      <w:i w:val="false"/>
      <w:iCs w:val="false"/>
      <w:color w:val="000000"/>
      <w:sz w:val="22"/>
      <w:szCs w:val="22"/>
    </w:rPr>
  </w:style>
  <w:style w:type="character" w:styleId="Fontstyle21" w:customStyle="1">
    <w:name w:val="fontstyle21"/>
    <w:basedOn w:val="DefaultParagraphFont"/>
    <w:qFormat/>
    <w:rsid w:val="00ad4544"/>
    <w:rPr>
      <w:rFonts w:ascii="Symbol" w:hAnsi="Symbol"/>
      <w:b w:val="false"/>
      <w:bCs w:val="false"/>
      <w:i w:val="false"/>
      <w:iCs w:val="false"/>
      <w:color w:val="000000"/>
      <w:sz w:val="22"/>
      <w:szCs w:val="22"/>
    </w:rPr>
  </w:style>
  <w:style w:type="character" w:styleId="Style14" w:customStyle="1">
    <w:name w:val="Верхний колонтитул Знак"/>
    <w:basedOn w:val="DefaultParagraphFont"/>
    <w:link w:val="af0"/>
    <w:uiPriority w:val="99"/>
    <w:qFormat/>
    <w:rsid w:val="00ad4544"/>
    <w:rPr>
      <w:sz w:val="24"/>
      <w:szCs w:val="24"/>
      <w:lang w:val="ru-RU" w:eastAsia="ar-SA"/>
    </w:rPr>
  </w:style>
  <w:style w:type="character" w:styleId="Style15" w:customStyle="1">
    <w:name w:val="Нижний колонтитул Знак"/>
    <w:basedOn w:val="DefaultParagraphFont"/>
    <w:link w:val="ae"/>
    <w:uiPriority w:val="99"/>
    <w:qFormat/>
    <w:rsid w:val="00ad4544"/>
    <w:rPr>
      <w:sz w:val="24"/>
      <w:szCs w:val="24"/>
      <w:lang w:val="ru-RU" w:eastAsia="ar-SA"/>
    </w:rPr>
  </w:style>
  <w:style w:type="character" w:styleId="Style16" w:customStyle="1">
    <w:name w:val="Заголовок Знак"/>
    <w:basedOn w:val="DefaultParagraphFont"/>
    <w:link w:val="aff0"/>
    <w:uiPriority w:val="10"/>
    <w:qFormat/>
    <w:rsid w:val="00ad4544"/>
    <w:rPr>
      <w:rFonts w:ascii="Arial" w:hAnsi="Arial" w:eastAsia="" w:cs="" w:cstheme="majorBidi" w:eastAsiaTheme="majorEastAsia"/>
      <w:b/>
      <w:color w:val="4472C4" w:themeColor="accent1"/>
      <w:spacing w:val="-10"/>
      <w:kern w:val="2"/>
      <w:sz w:val="22"/>
      <w:szCs w:val="56"/>
      <w:lang w:eastAsia="en-US"/>
    </w:rPr>
  </w:style>
  <w:style w:type="character" w:styleId="Style17" w:customStyle="1">
    <w:name w:val="Подзаголовок Знак"/>
    <w:basedOn w:val="DefaultParagraphFont"/>
    <w:link w:val="aff2"/>
    <w:uiPriority w:val="11"/>
    <w:qFormat/>
    <w:rsid w:val="00ad4544"/>
    <w:rPr>
      <w:rFonts w:ascii="Calibri" w:hAnsi="Calibri" w:eastAsia="" w:cs="" w:asciiTheme="minorHAnsi" w:cstheme="minorBidi" w:eastAsiaTheme="minorEastAsia" w:hAnsiTheme="minorHAnsi"/>
      <w:color w:val="5A5A5A" w:themeColor="text1" w:themeTint="a5"/>
      <w:spacing w:val="15"/>
      <w:sz w:val="22"/>
      <w:szCs w:val="22"/>
      <w:lang w:eastAsia="en-US"/>
    </w:rPr>
  </w:style>
  <w:style w:type="character" w:styleId="NormalbulletsChar" w:customStyle="1">
    <w:name w:val="Normal bullets Char"/>
    <w:basedOn w:val="DefaultParagraphFont"/>
    <w:link w:val="Normalbullets"/>
    <w:qFormat/>
    <w:rsid w:val="00ad4544"/>
    <w:rPr>
      <w:rFonts w:cs="" w:asciiTheme="minorBidi" w:cstheme="minorBidi" w:hAnsiTheme="minorBidi"/>
      <w:color w:val="22292E"/>
      <w:lang w:val="en-US" w:eastAsia="de-DE"/>
    </w:rPr>
  </w:style>
  <w:style w:type="character" w:styleId="Style18" w:customStyle="1">
    <w:name w:val="Абзац списка Знак"/>
    <w:link w:val="af5"/>
    <w:uiPriority w:val="34"/>
    <w:qFormat/>
    <w:locked/>
    <w:rsid w:val="00ad4544"/>
    <w:rPr>
      <w:rFonts w:ascii="Calibri" w:hAnsi="Calibri" w:cs="Calibri"/>
      <w:sz w:val="22"/>
      <w:szCs w:val="22"/>
      <w:lang w:val="ru-RU" w:eastAsia="ar-SA"/>
    </w:rPr>
  </w:style>
  <w:style w:type="character" w:styleId="Style2Char" w:customStyle="1">
    <w:name w:val="Style2 Char"/>
    <w:basedOn w:val="21"/>
    <w:link w:val="Style2"/>
    <w:qFormat/>
    <w:rsid w:val="00ad4544"/>
    <w:rPr>
      <w:rFonts w:ascii="Arial" w:hAnsi="Arial" w:eastAsia="" w:cs="" w:cstheme="majorBidi" w:eastAsiaTheme="majorEastAsia"/>
      <w:b/>
      <w:smallCaps/>
      <w:color w:val="A6005C"/>
      <w:sz w:val="24"/>
      <w:szCs w:val="24"/>
      <w:lang w:eastAsia="en-US"/>
    </w:rPr>
  </w:style>
  <w:style w:type="character" w:styleId="Body1Char" w:customStyle="1">
    <w:name w:val="Body1 Char"/>
    <w:basedOn w:val="DefaultParagraphFont"/>
    <w:link w:val="Body1"/>
    <w:qFormat/>
    <w:rsid w:val="00ad4544"/>
    <w:rPr>
      <w:rFonts w:ascii="Arial" w:hAnsi="Arial" w:eastAsia="Calibri" w:cs="Arial" w:eastAsiaTheme="minorHAnsi"/>
      <w:bCs/>
      <w:color w:val="000000" w:themeColor="text1"/>
      <w:sz w:val="22"/>
      <w:szCs w:val="22"/>
      <w:lang w:eastAsia="en-US"/>
    </w:rPr>
  </w:style>
  <w:style w:type="character" w:styleId="Normaltextrun" w:customStyle="1">
    <w:name w:val="normaltextrun"/>
    <w:basedOn w:val="DefaultParagraphFont"/>
    <w:qFormat/>
    <w:rsid w:val="00ad4544"/>
    <w:rPr/>
  </w:style>
  <w:style w:type="character" w:styleId="Annotationreference">
    <w:name w:val="annotation reference"/>
    <w:basedOn w:val="DefaultParagraphFont"/>
    <w:uiPriority w:val="99"/>
    <w:unhideWhenUsed/>
    <w:qFormat/>
    <w:rsid w:val="00ad4544"/>
    <w:rPr>
      <w:sz w:val="16"/>
      <w:szCs w:val="16"/>
    </w:rPr>
  </w:style>
  <w:style w:type="character" w:styleId="16" w:customStyle="1">
    <w:name w:val="Текст примечания Знак1"/>
    <w:basedOn w:val="DefaultParagraphFont"/>
    <w:link w:val="aff7"/>
    <w:uiPriority w:val="99"/>
    <w:qFormat/>
    <w:rsid w:val="00ad4544"/>
    <w:rPr>
      <w:rFonts w:ascii="Arial" w:hAnsi="Arial" w:eastAsia="Calibri" w:cs="" w:cstheme="minorBidi" w:eastAsiaTheme="minorHAnsi"/>
      <w:color w:val="0D0D0D" w:themeColor="text1" w:themeTint="f2"/>
      <w:lang w:eastAsia="en-US"/>
    </w:rPr>
  </w:style>
  <w:style w:type="character" w:styleId="Rvts44" w:customStyle="1">
    <w:name w:val="rvts44"/>
    <w:basedOn w:val="DefaultParagraphFont"/>
    <w:qFormat/>
    <w:rsid w:val="00ad4544"/>
    <w:rPr/>
  </w:style>
  <w:style w:type="character" w:styleId="17" w:customStyle="1">
    <w:name w:val="Тема примечания Знак1"/>
    <w:basedOn w:val="16"/>
    <w:link w:val="af7"/>
    <w:uiPriority w:val="99"/>
    <w:qFormat/>
    <w:rsid w:val="00ad4544"/>
    <w:rPr>
      <w:rFonts w:ascii="Arial" w:hAnsi="Arial" w:eastAsia="Calibri" w:cs="" w:cstheme="minorBidi" w:eastAsiaTheme="minorHAnsi"/>
      <w:b/>
      <w:bCs/>
      <w:color w:val="0D0D0D" w:themeColor="text1" w:themeTint="f2"/>
      <w:lang w:val="ru-RU" w:eastAsia="ar-SA"/>
    </w:rPr>
  </w:style>
  <w:style w:type="character" w:styleId="Bulletst1Char" w:customStyle="1">
    <w:name w:val="Bullet st1 Char"/>
    <w:basedOn w:val="DefaultParagraphFont"/>
    <w:link w:val="Bulletst1"/>
    <w:qFormat/>
    <w:rsid w:val="00ad4544"/>
    <w:rPr>
      <w:rFonts w:ascii="Arial" w:hAnsi="Arial" w:eastAsia="" w:cs="Calibri" w:eastAsiaTheme="majorEastAsia"/>
      <w:sz w:val="22"/>
      <w:szCs w:val="22"/>
      <w:lang w:eastAsia="en-GB"/>
    </w:rPr>
  </w:style>
  <w:style w:type="character" w:styleId="18" w:customStyle="1">
    <w:name w:val="Упомянуть1"/>
    <w:basedOn w:val="DefaultParagraphFont"/>
    <w:uiPriority w:val="99"/>
    <w:unhideWhenUsed/>
    <w:qFormat/>
    <w:rsid w:val="00ad4544"/>
    <w:rPr>
      <w:color w:val="2B579A"/>
      <w:shd w:fill="E1DFDD" w:val="clear"/>
    </w:rPr>
  </w:style>
  <w:style w:type="character" w:styleId="Tablecaption" w:customStyle="1">
    <w:name w:val="Table caption_"/>
    <w:basedOn w:val="DefaultParagraphFont"/>
    <w:link w:val="Tablecaption0"/>
    <w:qFormat/>
    <w:rsid w:val="00ad4544"/>
    <w:rPr>
      <w:rFonts w:ascii="Arial" w:hAnsi="Arial" w:eastAsia="Arial" w:cs="Arial"/>
      <w:b/>
      <w:bCs/>
      <w:color w:val="EBEBEB"/>
    </w:rPr>
  </w:style>
  <w:style w:type="character" w:styleId="Other" w:customStyle="1">
    <w:name w:val="Other_"/>
    <w:basedOn w:val="DefaultParagraphFont"/>
    <w:link w:val="Other0"/>
    <w:qFormat/>
    <w:rsid w:val="00ad4544"/>
    <w:rPr>
      <w:rFonts w:ascii="Arial" w:hAnsi="Arial" w:eastAsia="Arial" w:cs="Arial"/>
    </w:rPr>
  </w:style>
  <w:style w:type="character" w:styleId="Style3Char" w:customStyle="1">
    <w:name w:val="Style3 Char"/>
    <w:basedOn w:val="DefaultParagraphFont"/>
    <w:link w:val="Style3"/>
    <w:qFormat/>
    <w:rsid w:val="00ad4544"/>
    <w:rPr>
      <w:rFonts w:ascii="Arial" w:hAnsi="Arial" w:eastAsia="" w:cs="" w:cstheme="majorBidi" w:eastAsiaTheme="majorEastAsia"/>
      <w:b/>
      <w:smallCaps/>
      <w:color w:val="A6005C"/>
      <w:sz w:val="22"/>
      <w:szCs w:val="24"/>
      <w:lang w:eastAsia="en-US"/>
    </w:rPr>
  </w:style>
  <w:style w:type="character" w:styleId="Style19" w:customStyle="1">
    <w:name w:val="Текст выноски Знак"/>
    <w:basedOn w:val="DefaultParagraphFont"/>
    <w:link w:val="ac"/>
    <w:uiPriority w:val="99"/>
    <w:qFormat/>
    <w:rsid w:val="00ad4544"/>
    <w:rPr>
      <w:rFonts w:ascii="Tahoma" w:hAnsi="Tahoma" w:cs="Tahoma"/>
      <w:sz w:val="16"/>
      <w:szCs w:val="16"/>
      <w:lang w:val="ru-RU" w:eastAsia="ar-SA"/>
    </w:rPr>
  </w:style>
  <w:style w:type="character" w:styleId="HTML" w:customStyle="1">
    <w:name w:val="Стандартный HTML Знак"/>
    <w:basedOn w:val="DefaultParagraphFont"/>
    <w:link w:val="HTML"/>
    <w:uiPriority w:val="99"/>
    <w:qFormat/>
    <w:rsid w:val="00ad4544"/>
    <w:rPr>
      <w:rFonts w:ascii="Courier New" w:hAnsi="Courier New" w:cs="Courier New"/>
      <w:lang w:val="ru-RU" w:eastAsia="ru-RU"/>
    </w:rPr>
  </w:style>
  <w:style w:type="character" w:styleId="Y2iqfc" w:customStyle="1">
    <w:name w:val="y2iqfc"/>
    <w:basedOn w:val="DefaultParagraphFont"/>
    <w:qFormat/>
    <w:rsid w:val="00ad4544"/>
    <w:rPr/>
  </w:style>
  <w:style w:type="character" w:styleId="Eop" w:customStyle="1">
    <w:name w:val="eop"/>
    <w:basedOn w:val="DefaultParagraphFont"/>
    <w:qFormat/>
    <w:rsid w:val="00ad4544"/>
    <w:rPr/>
  </w:style>
  <w:style w:type="character" w:styleId="Style20" w:customStyle="1">
    <w:name w:val="Название объекта Знак"/>
    <w:basedOn w:val="DefaultParagraphFont"/>
    <w:link w:val="aff4"/>
    <w:uiPriority w:val="35"/>
    <w:qFormat/>
    <w:rsid w:val="00ad4544"/>
    <w:rPr>
      <w:rFonts w:ascii="Arial" w:hAnsi="Arial" w:eastAsia="Calibri" w:cs="" w:cstheme="minorBidi" w:eastAsiaTheme="minorHAnsi"/>
      <w:i/>
      <w:iCs/>
      <w:color w:val="0D0D0D" w:themeColor="text1" w:themeTint="f2"/>
      <w:sz w:val="22"/>
      <w:szCs w:val="18"/>
      <w:lang w:eastAsia="en-US"/>
    </w:rPr>
  </w:style>
  <w:style w:type="character" w:styleId="PlaceholderText">
    <w:name w:val="Placeholder Text"/>
    <w:basedOn w:val="DefaultParagraphFont"/>
    <w:uiPriority w:val="99"/>
    <w:semiHidden/>
    <w:qFormat/>
    <w:rsid w:val="00ad4544"/>
    <w:rPr>
      <w:color w:val="808080"/>
    </w:rPr>
  </w:style>
  <w:style w:type="character" w:styleId="Style21" w:customStyle="1">
    <w:name w:val="Без интервала Знак"/>
    <w:basedOn w:val="DefaultParagraphFont"/>
    <w:link w:val="af3"/>
    <w:uiPriority w:val="1"/>
    <w:qFormat/>
    <w:rsid w:val="00ad4544"/>
    <w:rPr>
      <w:rFonts w:ascii="Calibri" w:hAnsi="Calibri" w:eastAsia="Calibri" w:cs="Calibri"/>
      <w:sz w:val="22"/>
      <w:szCs w:val="22"/>
      <w:lang w:val="en-GB" w:eastAsia="ar-SA"/>
    </w:rPr>
  </w:style>
  <w:style w:type="character" w:styleId="Style4Char" w:customStyle="1">
    <w:name w:val="Style4 Char"/>
    <w:basedOn w:val="31"/>
    <w:link w:val="Style4"/>
    <w:qFormat/>
    <w:rsid w:val="00ad4544"/>
    <w:rPr>
      <w:rFonts w:ascii="Arial" w:hAnsi="Arial" w:eastAsia="" w:cs="Arial" w:eastAsiaTheme="majorEastAsia"/>
      <w:color w:val="A6005C"/>
      <w:sz w:val="22"/>
      <w:szCs w:val="24"/>
      <w:lang w:val="ru-RU" w:eastAsia="en-US"/>
    </w:rPr>
  </w:style>
  <w:style w:type="character" w:styleId="FollowedHyperlink">
    <w:name w:val="FollowedHyperlink"/>
    <w:basedOn w:val="DefaultParagraphFont"/>
    <w:uiPriority w:val="99"/>
    <w:semiHidden/>
    <w:unhideWhenUsed/>
    <w:qFormat/>
    <w:rsid w:val="00ad4544"/>
    <w:rPr>
      <w:color w:val="96607D"/>
      <w:u w:val="single"/>
    </w:rPr>
  </w:style>
  <w:style w:type="character" w:styleId="19" w:customStyle="1">
    <w:name w:val="Основной текст Знак1"/>
    <w:basedOn w:val="DefaultParagraphFont"/>
    <w:link w:val="aa"/>
    <w:qFormat/>
    <w:rsid w:val="00ad4544"/>
    <w:rPr>
      <w:sz w:val="24"/>
      <w:szCs w:val="24"/>
      <w:lang w:val="x-none" w:eastAsia="ar-SA"/>
    </w:rPr>
  </w:style>
  <w:style w:type="character" w:styleId="110" w:customStyle="1">
    <w:name w:val="Основной текст с отступом Знак1"/>
    <w:basedOn w:val="DefaultParagraphFont"/>
    <w:link w:val="af2"/>
    <w:qFormat/>
    <w:rsid w:val="00ad4544"/>
    <w:rPr>
      <w:sz w:val="24"/>
      <w:szCs w:val="28"/>
      <w:lang w:eastAsia="ar-SA"/>
    </w:rPr>
  </w:style>
  <w:style w:type="character" w:styleId="32" w:customStyle="1">
    <w:name w:val="Основной текст с отступом 3 Знак"/>
    <w:basedOn w:val="DefaultParagraphFont"/>
    <w:link w:val="32"/>
    <w:qFormat/>
    <w:rsid w:val="00ad4544"/>
    <w:rPr>
      <w:sz w:val="22"/>
      <w:szCs w:val="22"/>
      <w:lang w:val="ru-RU" w:eastAsia="en-US"/>
    </w:rPr>
  </w:style>
  <w:style w:type="character" w:styleId="22" w:customStyle="1">
    <w:name w:val="Основной текст с отступом 2 Знак"/>
    <w:basedOn w:val="DefaultParagraphFont"/>
    <w:link w:val="22"/>
    <w:qFormat/>
    <w:rsid w:val="00ad4544"/>
    <w:rPr>
      <w:lang w:val="en-US" w:eastAsia="en-US"/>
    </w:rPr>
  </w:style>
  <w:style w:type="character" w:styleId="33" w:customStyle="1">
    <w:name w:val="Основной текст 3 Знак"/>
    <w:basedOn w:val="DefaultParagraphFont"/>
    <w:link w:val="34"/>
    <w:qFormat/>
    <w:rsid w:val="00ad4544"/>
    <w:rPr>
      <w:b/>
      <w:bCs/>
      <w:lang w:val="ru-RU" w:eastAsia="en-US"/>
    </w:rPr>
  </w:style>
  <w:style w:type="character" w:styleId="Style22" w:customStyle="1">
    <w:name w:val="Схема документа Знак"/>
    <w:basedOn w:val="DefaultParagraphFont"/>
    <w:link w:val="affe"/>
    <w:semiHidden/>
    <w:qFormat/>
    <w:rsid w:val="00ad4544"/>
    <w:rPr>
      <w:rFonts w:ascii="Tahoma" w:hAnsi="Tahoma" w:cs="Tahoma"/>
      <w:sz w:val="24"/>
      <w:szCs w:val="24"/>
      <w:shd w:fill="000080" w:val="clear"/>
      <w:lang w:val="ru-RU" w:eastAsia="ru-RU"/>
    </w:rPr>
  </w:style>
  <w:style w:type="character" w:styleId="Style23">
    <w:name w:val="Виділення"/>
    <w:qFormat/>
    <w:rsid w:val="00ad4544"/>
    <w:rPr>
      <w:rFonts w:ascii="Arial Black" w:hAnsi="Arial Black"/>
      <w:sz w:val="18"/>
      <w:szCs w:val="18"/>
    </w:rPr>
  </w:style>
  <w:style w:type="character" w:styleId="23" w:customStyle="1">
    <w:name w:val="Основной текст 2 Знак"/>
    <w:basedOn w:val="DefaultParagraphFont"/>
    <w:link w:val="24"/>
    <w:qFormat/>
    <w:rsid w:val="00ad4544"/>
    <w:rPr>
      <w:sz w:val="22"/>
      <w:szCs w:val="22"/>
      <w:lang w:val="ru-RU" w:eastAsia="ru-RU"/>
    </w:rPr>
  </w:style>
  <w:style w:type="character" w:styleId="Paragraph1Char" w:customStyle="1">
    <w:name w:val="Paragraph (1) Char"/>
    <w:link w:val="Paragraph1"/>
    <w:qFormat/>
    <w:rsid w:val="00ad4544"/>
    <w:rPr>
      <w:sz w:val="24"/>
      <w:lang w:val="en-GB" w:eastAsia="en-GB"/>
    </w:rPr>
  </w:style>
  <w:style w:type="character" w:styleId="ParagraphaChar" w:customStyle="1">
    <w:name w:val="Paragraph (a) Char"/>
    <w:link w:val="Paragrapha"/>
    <w:qFormat/>
    <w:rsid w:val="00ad4544"/>
    <w:rPr>
      <w:sz w:val="24"/>
      <w:lang w:val="en-GB" w:eastAsia="en-GB"/>
    </w:rPr>
  </w:style>
  <w:style w:type="character" w:styleId="ListLabel4" w:customStyle="1">
    <w:name w:val="ListLabel 4"/>
    <w:qFormat/>
    <w:rsid w:val="00ad4544"/>
    <w:rPr>
      <w:lang w:val="uk-UA" w:eastAsia="en-US" w:bidi="ar-SA"/>
    </w:rPr>
  </w:style>
  <w:style w:type="character" w:styleId="ListLabel2" w:customStyle="1">
    <w:name w:val="ListLabel 2"/>
    <w:qFormat/>
    <w:rsid w:val="00ad4544"/>
    <w:rPr>
      <w:lang w:val="uk-UA" w:eastAsia="en-US" w:bidi="ar-SA"/>
    </w:rPr>
  </w:style>
  <w:style w:type="character" w:styleId="ListLabel17" w:customStyle="1">
    <w:name w:val="ListLabel 17"/>
    <w:qFormat/>
    <w:rsid w:val="00ad4544"/>
    <w:rPr>
      <w:lang w:val="uk-UA" w:eastAsia="en-US" w:bidi="ar-SA"/>
    </w:rPr>
  </w:style>
  <w:style w:type="character" w:styleId="ListLabel35" w:customStyle="1">
    <w:name w:val="ListLabel 35"/>
    <w:qFormat/>
    <w:rsid w:val="00ad4544"/>
    <w:rPr>
      <w:lang w:val="uk-UA" w:eastAsia="en-US" w:bidi="ar-SA"/>
    </w:rPr>
  </w:style>
  <w:style w:type="character" w:styleId="TableTextLeftChar" w:customStyle="1">
    <w:name w:val="~TableTextLeft Char"/>
    <w:link w:val="TableTextLeft"/>
    <w:qFormat/>
    <w:locked/>
    <w:rsid w:val="00ad4544"/>
    <w:rPr>
      <w:rFonts w:ascii="Yu Mincho" w:hAnsi="Yu Mincho" w:eastAsia="MS Mincho"/>
      <w:sz w:val="16"/>
      <w:szCs w:val="16"/>
    </w:rPr>
  </w:style>
  <w:style w:type="character" w:styleId="ListLabel36">
    <w:name w:val="ListLabel 36"/>
    <w:qFormat/>
    <w:rPr>
      <w:rFonts w:cs="Times New Roman"/>
      <w:b/>
      <w:sz w:val="22"/>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rFonts w:cs="Times New Roman"/>
      <w:sz w:val="22"/>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cs="Courier New"/>
    </w:rPr>
  </w:style>
  <w:style w:type="character" w:styleId="ListLabel44">
    <w:name w:val="ListLabel 44"/>
    <w:qFormat/>
    <w:rPr>
      <w:rFonts w:cs="Times New Roman"/>
      <w:sz w:val="22"/>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cs="Courier New"/>
    </w:rPr>
  </w:style>
  <w:style w:type="character" w:styleId="ListLabel48">
    <w:name w:val="ListLabel 48"/>
    <w:qFormat/>
    <w:rPr>
      <w:rFonts w:cs="Times New Roman"/>
      <w:sz w:val="22"/>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cs="Courier New"/>
    </w:rPr>
  </w:style>
  <w:style w:type="character" w:styleId="ListLabel52">
    <w:name w:val="ListLabel 52"/>
    <w:qFormat/>
    <w:rPr>
      <w:rFonts w:cs="Courier New"/>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Courier New"/>
    </w:rPr>
  </w:style>
  <w:style w:type="character" w:styleId="ListLabel57">
    <w:name w:val="ListLabel 57"/>
    <w:qFormat/>
    <w:rPr>
      <w:rFonts w:cs="Courier New"/>
    </w:rPr>
  </w:style>
  <w:style w:type="character" w:styleId="ListLabel58">
    <w:name w:val="ListLabel 58"/>
    <w:qFormat/>
    <w:rPr>
      <w:color w:val="A6005C"/>
      <w:u w:val="none" w:color="A6005C"/>
    </w:rPr>
  </w:style>
  <w:style w:type="character" w:styleId="ListLabel59">
    <w:name w:val="ListLabel 59"/>
    <w:qFormat/>
    <w:rPr>
      <w:rFonts w:cs="Courier New"/>
    </w:rPr>
  </w:style>
  <w:style w:type="character" w:styleId="ListLabel60">
    <w:name w:val="ListLabel 60"/>
    <w:qFormat/>
    <w:rPr>
      <w:rFonts w:cs="Courier New"/>
    </w:rPr>
  </w:style>
  <w:style w:type="character" w:styleId="ListLabel61">
    <w:name w:val="ListLabel 61"/>
    <w:qFormat/>
    <w:rPr>
      <w:rFonts w:cs="Courier New"/>
    </w:rPr>
  </w:style>
  <w:style w:type="character" w:styleId="ListLabel62">
    <w:name w:val="ListLabel 62"/>
    <w:qFormat/>
    <w:rPr>
      <w:b/>
      <w:i w:val="false"/>
      <w:color w:val="A6005C"/>
      <w:sz w:val="20"/>
    </w:rPr>
  </w:style>
  <w:style w:type="character" w:styleId="ListLabel63">
    <w:name w:val="ListLabel 63"/>
    <w:qFormat/>
    <w:rPr>
      <w:color w:val="auto"/>
      <w:sz w:val="18"/>
    </w:rPr>
  </w:style>
  <w:style w:type="character" w:styleId="ListLabel64">
    <w:name w:val="ListLabel 64"/>
    <w:qFormat/>
    <w:rPr>
      <w:rFonts w:eastAsia="Calibri" w:cs="Arial"/>
    </w:rPr>
  </w:style>
  <w:style w:type="character" w:styleId="ListLabel65">
    <w:name w:val="ListLabel 65"/>
    <w:qFormat/>
    <w:rPr>
      <w:rFonts w:eastAsia="Calibri" w:cs="Calibri"/>
    </w:rPr>
  </w:style>
  <w:style w:type="character" w:styleId="ListLabel66">
    <w:name w:val="ListLabel 66"/>
    <w:qFormat/>
    <w:rPr>
      <w:rFonts w:cs="Courier New"/>
    </w:rPr>
  </w:style>
  <w:style w:type="character" w:styleId="ListLabel67">
    <w:name w:val="ListLabel 67"/>
    <w:qFormat/>
    <w:rPr>
      <w:rFonts w:cs="Courier New"/>
    </w:rPr>
  </w:style>
  <w:style w:type="character" w:styleId="ListLabel68">
    <w:name w:val="ListLabel 68"/>
    <w:qFormat/>
    <w:rPr>
      <w:rFonts w:cs="Times New Roman"/>
      <w:b w:val="false"/>
      <w:bCs w:val="false"/>
      <w:i w:val="false"/>
      <w:iCs w:val="false"/>
      <w:caps w:val="false"/>
      <w:smallCaps w:val="false"/>
      <w:strike w:val="false"/>
      <w:dstrike w:val="false"/>
      <w:vanish w:val="false"/>
      <w:color w:val="000000"/>
      <w:spacing w:val="0"/>
      <w:w w:val="100"/>
      <w:kern w:val="0"/>
      <w:position w:val="0"/>
      <w:sz w:val="0"/>
      <w:sz w:val="0"/>
      <w:szCs w:val="0"/>
      <w:highlight w:val="black"/>
      <w:u w:val="none" w:color="000000"/>
      <w:effect w:val="none"/>
      <w:vertAlign w:val="baseline"/>
      <w:em w:val="none"/>
      <w:lang w:val="x-none" w:eastAsia="x-none" w:bidi="x-none"/>
    </w:rPr>
  </w:style>
  <w:style w:type="character" w:styleId="ListLabel69">
    <w:name w:val="ListLabel 69"/>
    <w:qFormat/>
    <w:rPr>
      <w:color w:val="A6005C"/>
    </w:rPr>
  </w:style>
  <w:style w:type="character" w:styleId="ListLabel70">
    <w:name w:val="ListLabel 70"/>
    <w:qFormat/>
    <w:rPr>
      <w:color w:val="4472C4"/>
    </w:rPr>
  </w:style>
  <w:style w:type="character" w:styleId="ListLabel71">
    <w:name w:val="ListLabel 71"/>
    <w:qFormat/>
    <w:rPr>
      <w:rFonts w:cs="Courier New"/>
    </w:rPr>
  </w:style>
  <w:style w:type="character" w:styleId="ListLabel72">
    <w:name w:val="ListLabel 72"/>
    <w:qFormat/>
    <w:rPr>
      <w:rFonts w:cs="Courier New"/>
    </w:rPr>
  </w:style>
  <w:style w:type="character" w:styleId="ListLabel73">
    <w:name w:val="ListLabel 73"/>
    <w:qFormat/>
    <w:rPr>
      <w:rFonts w:eastAsia="Times New Roman" w:cs="Times New Roman"/>
      <w:spacing w:val="-2"/>
      <w:w w:val="99"/>
      <w:sz w:val="24"/>
      <w:szCs w:val="24"/>
      <w:lang w:val="uk-UA" w:eastAsia="en-US" w:bidi="ar-SA"/>
    </w:rPr>
  </w:style>
  <w:style w:type="character" w:styleId="ListLabel74">
    <w:name w:val="ListLabel 74"/>
    <w:qFormat/>
    <w:rPr>
      <w:rFonts w:eastAsia="Times New Roman" w:cs="Times New Roman"/>
      <w:w w:val="99"/>
      <w:sz w:val="24"/>
      <w:szCs w:val="24"/>
      <w:lang w:val="uk-UA" w:eastAsia="en-US" w:bidi="ar-SA"/>
    </w:rPr>
  </w:style>
  <w:style w:type="character" w:styleId="ListLabel75">
    <w:name w:val="ListLabel 75"/>
    <w:qFormat/>
    <w:rPr>
      <w:lang w:val="uk-UA" w:eastAsia="en-US" w:bidi="ar-SA"/>
    </w:rPr>
  </w:style>
  <w:style w:type="character" w:styleId="ListLabel76">
    <w:name w:val="ListLabel 76"/>
    <w:qFormat/>
    <w:rPr>
      <w:lang w:val="uk-UA" w:eastAsia="en-US" w:bidi="ar-SA"/>
    </w:rPr>
  </w:style>
  <w:style w:type="character" w:styleId="ListLabel77">
    <w:name w:val="ListLabel 77"/>
    <w:qFormat/>
    <w:rPr>
      <w:lang w:val="uk-UA" w:eastAsia="en-US" w:bidi="ar-SA"/>
    </w:rPr>
  </w:style>
  <w:style w:type="character" w:styleId="ListLabel78">
    <w:name w:val="ListLabel 78"/>
    <w:qFormat/>
    <w:rPr>
      <w:lang w:val="uk-UA" w:eastAsia="en-US" w:bidi="ar-SA"/>
    </w:rPr>
  </w:style>
  <w:style w:type="character" w:styleId="ListLabel79">
    <w:name w:val="ListLabel 79"/>
    <w:qFormat/>
    <w:rPr>
      <w:lang w:val="uk-UA" w:eastAsia="en-US" w:bidi="ar-SA"/>
    </w:rPr>
  </w:style>
  <w:style w:type="character" w:styleId="ListLabel80">
    <w:name w:val="ListLabel 80"/>
    <w:qFormat/>
    <w:rPr>
      <w:lang w:val="uk-UA" w:eastAsia="en-US" w:bidi="ar-SA"/>
    </w:rPr>
  </w:style>
  <w:style w:type="character" w:styleId="ListLabel81">
    <w:name w:val="ListLabel 81"/>
    <w:qFormat/>
    <w:rPr>
      <w:lang w:val="uk-UA" w:eastAsia="en-US" w:bidi="ar-SA"/>
    </w:rPr>
  </w:style>
  <w:style w:type="character" w:styleId="ListLabel82">
    <w:name w:val="ListLabel 82"/>
    <w:qFormat/>
    <w:rPr>
      <w:rFonts w:eastAsia="Times New Roman" w:cs="Times New Roman"/>
      <w:spacing w:val="-1"/>
      <w:w w:val="99"/>
      <w:sz w:val="24"/>
      <w:szCs w:val="24"/>
      <w:lang w:val="uk-UA" w:eastAsia="en-US" w:bidi="ar-SA"/>
    </w:rPr>
  </w:style>
  <w:style w:type="character" w:styleId="ListLabel83">
    <w:name w:val="ListLabel 83"/>
    <w:qFormat/>
    <w:rPr>
      <w:rFonts w:eastAsia="Times New Roman" w:cs="Times New Roman"/>
      <w:spacing w:val="-1"/>
      <w:w w:val="99"/>
      <w:sz w:val="24"/>
      <w:szCs w:val="24"/>
      <w:lang w:val="uk-UA" w:eastAsia="en-US" w:bidi="ar-SA"/>
    </w:rPr>
  </w:style>
  <w:style w:type="character" w:styleId="ListLabel84">
    <w:name w:val="ListLabel 84"/>
    <w:qFormat/>
    <w:rPr>
      <w:lang w:val="uk-UA" w:eastAsia="en-US" w:bidi="ar-SA"/>
    </w:rPr>
  </w:style>
  <w:style w:type="character" w:styleId="ListLabel85">
    <w:name w:val="ListLabel 85"/>
    <w:qFormat/>
    <w:rPr>
      <w:lang w:val="uk-UA" w:eastAsia="en-US" w:bidi="ar-SA"/>
    </w:rPr>
  </w:style>
  <w:style w:type="character" w:styleId="ListLabel86">
    <w:name w:val="ListLabel 86"/>
    <w:qFormat/>
    <w:rPr>
      <w:lang w:val="uk-UA" w:eastAsia="en-US" w:bidi="ar-SA"/>
    </w:rPr>
  </w:style>
  <w:style w:type="character" w:styleId="ListLabel87">
    <w:name w:val="ListLabel 87"/>
    <w:qFormat/>
    <w:rPr>
      <w:lang w:val="uk-UA" w:eastAsia="en-US" w:bidi="ar-SA"/>
    </w:rPr>
  </w:style>
  <w:style w:type="character" w:styleId="ListLabel88">
    <w:name w:val="ListLabel 88"/>
    <w:qFormat/>
    <w:rPr>
      <w:lang w:val="uk-UA" w:eastAsia="en-US" w:bidi="ar-SA"/>
    </w:rPr>
  </w:style>
  <w:style w:type="character" w:styleId="ListLabel89">
    <w:name w:val="ListLabel 89"/>
    <w:qFormat/>
    <w:rPr>
      <w:lang w:val="uk-UA" w:eastAsia="en-US" w:bidi="ar-SA"/>
    </w:rPr>
  </w:style>
  <w:style w:type="character" w:styleId="ListLabel90">
    <w:name w:val="ListLabel 90"/>
    <w:qFormat/>
    <w:rPr>
      <w:lang w:val="uk-UA" w:eastAsia="en-US" w:bidi="ar-SA"/>
    </w:rPr>
  </w:style>
  <w:style w:type="character" w:styleId="ListLabel91">
    <w:name w:val="ListLabel 91"/>
    <w:qFormat/>
    <w:rPr>
      <w:rFonts w:eastAsia="Times New Roman" w:cs="Times New Roman"/>
      <w:spacing w:val="-2"/>
      <w:w w:val="99"/>
      <w:sz w:val="24"/>
      <w:szCs w:val="24"/>
      <w:lang w:val="uk-UA" w:eastAsia="en-US" w:bidi="ar-SA"/>
    </w:rPr>
  </w:style>
  <w:style w:type="character" w:styleId="ListLabel92">
    <w:name w:val="ListLabel 92"/>
    <w:qFormat/>
    <w:rPr>
      <w:rFonts w:eastAsia="Times New Roman" w:cs="Times New Roman"/>
      <w:spacing w:val="-2"/>
      <w:w w:val="99"/>
      <w:sz w:val="24"/>
      <w:szCs w:val="24"/>
      <w:lang w:val="uk-UA" w:eastAsia="en-US" w:bidi="ar-SA"/>
    </w:rPr>
  </w:style>
  <w:style w:type="character" w:styleId="ListLabel93">
    <w:name w:val="ListLabel 93"/>
    <w:qFormat/>
    <w:rPr>
      <w:lang w:val="uk-UA" w:eastAsia="en-US" w:bidi="ar-SA"/>
    </w:rPr>
  </w:style>
  <w:style w:type="character" w:styleId="ListLabel94">
    <w:name w:val="ListLabel 94"/>
    <w:qFormat/>
    <w:rPr>
      <w:lang w:val="uk-UA" w:eastAsia="en-US" w:bidi="ar-SA"/>
    </w:rPr>
  </w:style>
  <w:style w:type="character" w:styleId="ListLabel95">
    <w:name w:val="ListLabel 95"/>
    <w:qFormat/>
    <w:rPr>
      <w:lang w:val="uk-UA" w:eastAsia="en-US" w:bidi="ar-SA"/>
    </w:rPr>
  </w:style>
  <w:style w:type="character" w:styleId="ListLabel96">
    <w:name w:val="ListLabel 96"/>
    <w:qFormat/>
    <w:rPr>
      <w:lang w:val="uk-UA" w:eastAsia="en-US" w:bidi="ar-SA"/>
    </w:rPr>
  </w:style>
  <w:style w:type="character" w:styleId="ListLabel97">
    <w:name w:val="ListLabel 97"/>
    <w:qFormat/>
    <w:rPr>
      <w:lang w:val="uk-UA" w:eastAsia="en-US" w:bidi="ar-SA"/>
    </w:rPr>
  </w:style>
  <w:style w:type="character" w:styleId="ListLabel98">
    <w:name w:val="ListLabel 98"/>
    <w:qFormat/>
    <w:rPr>
      <w:lang w:val="uk-UA" w:eastAsia="en-US" w:bidi="ar-SA"/>
    </w:rPr>
  </w:style>
  <w:style w:type="character" w:styleId="ListLabel99">
    <w:name w:val="ListLabel 99"/>
    <w:qFormat/>
    <w:rPr>
      <w:lang w:val="uk-UA" w:eastAsia="en-US" w:bidi="ar-SA"/>
    </w:rPr>
  </w:style>
  <w:style w:type="character" w:styleId="ListLabel100">
    <w:name w:val="ListLabel 100"/>
    <w:qFormat/>
    <w:rPr>
      <w:rFonts w:eastAsia="Times New Roman" w:cs="Times New Roman"/>
      <w:spacing w:val="-2"/>
      <w:w w:val="99"/>
      <w:sz w:val="24"/>
      <w:szCs w:val="24"/>
      <w:lang w:val="uk-UA" w:eastAsia="en-US" w:bidi="ar-SA"/>
    </w:rPr>
  </w:style>
  <w:style w:type="character" w:styleId="ListLabel101">
    <w:name w:val="ListLabel 101"/>
    <w:qFormat/>
    <w:rPr>
      <w:rFonts w:eastAsia="Times New Roman" w:cs="Times New Roman"/>
      <w:w w:val="99"/>
      <w:sz w:val="24"/>
      <w:szCs w:val="24"/>
      <w:lang w:val="uk-UA" w:eastAsia="en-US" w:bidi="ar-SA"/>
    </w:rPr>
  </w:style>
  <w:style w:type="character" w:styleId="ListLabel102">
    <w:name w:val="ListLabel 102"/>
    <w:qFormat/>
    <w:rPr>
      <w:rFonts w:eastAsia="Times New Roman" w:cs="Times New Roman"/>
      <w:spacing w:val="-2"/>
      <w:w w:val="99"/>
      <w:sz w:val="24"/>
      <w:szCs w:val="24"/>
      <w:lang w:val="uk-UA" w:eastAsia="en-US" w:bidi="ar-SA"/>
    </w:rPr>
  </w:style>
  <w:style w:type="character" w:styleId="ListLabel103">
    <w:name w:val="ListLabel 103"/>
    <w:qFormat/>
    <w:rPr>
      <w:lang w:val="uk-UA" w:eastAsia="en-US" w:bidi="ar-SA"/>
    </w:rPr>
  </w:style>
  <w:style w:type="character" w:styleId="ListLabel104">
    <w:name w:val="ListLabel 104"/>
    <w:qFormat/>
    <w:rPr>
      <w:lang w:val="uk-UA" w:eastAsia="en-US" w:bidi="ar-SA"/>
    </w:rPr>
  </w:style>
  <w:style w:type="character" w:styleId="ListLabel105">
    <w:name w:val="ListLabel 105"/>
    <w:qFormat/>
    <w:rPr>
      <w:lang w:val="uk-UA" w:eastAsia="en-US" w:bidi="ar-SA"/>
    </w:rPr>
  </w:style>
  <w:style w:type="character" w:styleId="ListLabel106">
    <w:name w:val="ListLabel 106"/>
    <w:qFormat/>
    <w:rPr>
      <w:lang w:val="uk-UA" w:eastAsia="en-US" w:bidi="ar-SA"/>
    </w:rPr>
  </w:style>
  <w:style w:type="character" w:styleId="ListLabel107">
    <w:name w:val="ListLabel 107"/>
    <w:qFormat/>
    <w:rPr>
      <w:lang w:val="uk-UA" w:eastAsia="en-US" w:bidi="ar-SA"/>
    </w:rPr>
  </w:style>
  <w:style w:type="character" w:styleId="ListLabel108">
    <w:name w:val="ListLabel 108"/>
    <w:qFormat/>
    <w:rPr>
      <w:lang w:val="uk-UA" w:eastAsia="en-US" w:bidi="ar-SA"/>
    </w:rPr>
  </w:style>
  <w:style w:type="character" w:styleId="ListLabel109">
    <w:name w:val="ListLabel 109"/>
    <w:qFormat/>
    <w:rPr>
      <w:rFonts w:eastAsia="Times New Roman" w:cs="Times New Roman"/>
      <w:w w:val="99"/>
      <w:sz w:val="24"/>
      <w:szCs w:val="24"/>
      <w:lang w:val="uk-UA" w:eastAsia="en-US" w:bidi="ar-SA"/>
    </w:rPr>
  </w:style>
  <w:style w:type="character" w:styleId="ListLabel110">
    <w:name w:val="ListLabel 110"/>
    <w:qFormat/>
    <w:rPr>
      <w:lang w:val="uk-UA" w:eastAsia="en-US" w:bidi="ar-SA"/>
    </w:rPr>
  </w:style>
  <w:style w:type="character" w:styleId="ListLabel111">
    <w:name w:val="ListLabel 111"/>
    <w:qFormat/>
    <w:rPr>
      <w:lang w:val="uk-UA" w:eastAsia="en-US" w:bidi="ar-SA"/>
    </w:rPr>
  </w:style>
  <w:style w:type="character" w:styleId="ListLabel112">
    <w:name w:val="ListLabel 112"/>
    <w:qFormat/>
    <w:rPr>
      <w:lang w:val="uk-UA" w:eastAsia="en-US" w:bidi="ar-SA"/>
    </w:rPr>
  </w:style>
  <w:style w:type="character" w:styleId="ListLabel113">
    <w:name w:val="ListLabel 113"/>
    <w:qFormat/>
    <w:rPr>
      <w:lang w:val="uk-UA" w:eastAsia="en-US" w:bidi="ar-SA"/>
    </w:rPr>
  </w:style>
  <w:style w:type="character" w:styleId="ListLabel114">
    <w:name w:val="ListLabel 114"/>
    <w:qFormat/>
    <w:rPr>
      <w:lang w:val="uk-UA" w:eastAsia="en-US" w:bidi="ar-SA"/>
    </w:rPr>
  </w:style>
  <w:style w:type="character" w:styleId="ListLabel115">
    <w:name w:val="ListLabel 115"/>
    <w:qFormat/>
    <w:rPr>
      <w:lang w:val="uk-UA" w:eastAsia="en-US" w:bidi="ar-SA"/>
    </w:rPr>
  </w:style>
  <w:style w:type="character" w:styleId="ListLabel116">
    <w:name w:val="ListLabel 116"/>
    <w:qFormat/>
    <w:rPr>
      <w:lang w:val="uk-UA" w:eastAsia="en-US" w:bidi="ar-SA"/>
    </w:rPr>
  </w:style>
  <w:style w:type="character" w:styleId="ListLabel117">
    <w:name w:val="ListLabel 117"/>
    <w:qFormat/>
    <w:rPr>
      <w:lang w:val="uk-UA" w:eastAsia="en-US" w:bidi="ar-SA"/>
    </w:rPr>
  </w:style>
  <w:style w:type="character" w:styleId="ListLabel118">
    <w:name w:val="ListLabel 118"/>
    <w:qFormat/>
    <w:rPr>
      <w:rFonts w:eastAsia="Times New Roman" w:cs="Times New Roman"/>
      <w:w w:val="99"/>
      <w:sz w:val="24"/>
      <w:szCs w:val="24"/>
      <w:lang w:val="uk-UA" w:eastAsia="en-US" w:bidi="ar-SA"/>
    </w:rPr>
  </w:style>
  <w:style w:type="character" w:styleId="ListLabel119">
    <w:name w:val="ListLabel 119"/>
    <w:qFormat/>
    <w:rPr>
      <w:rFonts w:eastAsia="Times New Roman" w:cs="Times New Roman"/>
      <w:w w:val="99"/>
      <w:sz w:val="24"/>
      <w:szCs w:val="24"/>
      <w:lang w:val="uk-UA" w:eastAsia="en-US" w:bidi="ar-SA"/>
    </w:rPr>
  </w:style>
  <w:style w:type="character" w:styleId="ListLabel120">
    <w:name w:val="ListLabel 120"/>
    <w:qFormat/>
    <w:rPr>
      <w:lang w:val="uk-UA" w:eastAsia="en-US" w:bidi="ar-SA"/>
    </w:rPr>
  </w:style>
  <w:style w:type="character" w:styleId="ListLabel121">
    <w:name w:val="ListLabel 121"/>
    <w:qFormat/>
    <w:rPr>
      <w:lang w:val="uk-UA" w:eastAsia="en-US" w:bidi="ar-SA"/>
    </w:rPr>
  </w:style>
  <w:style w:type="character" w:styleId="ListLabel122">
    <w:name w:val="ListLabel 122"/>
    <w:qFormat/>
    <w:rPr>
      <w:lang w:val="uk-UA" w:eastAsia="en-US" w:bidi="ar-SA"/>
    </w:rPr>
  </w:style>
  <w:style w:type="character" w:styleId="ListLabel123">
    <w:name w:val="ListLabel 123"/>
    <w:qFormat/>
    <w:rPr>
      <w:lang w:val="uk-UA" w:eastAsia="en-US" w:bidi="ar-SA"/>
    </w:rPr>
  </w:style>
  <w:style w:type="character" w:styleId="ListLabel124">
    <w:name w:val="ListLabel 124"/>
    <w:qFormat/>
    <w:rPr>
      <w:lang w:val="uk-UA" w:eastAsia="en-US" w:bidi="ar-SA"/>
    </w:rPr>
  </w:style>
  <w:style w:type="character" w:styleId="ListLabel125">
    <w:name w:val="ListLabel 125"/>
    <w:qFormat/>
    <w:rPr>
      <w:lang w:val="uk-UA" w:eastAsia="en-US" w:bidi="ar-SA"/>
    </w:rPr>
  </w:style>
  <w:style w:type="character" w:styleId="ListLabel126">
    <w:name w:val="ListLabel 126"/>
    <w:qFormat/>
    <w:rPr>
      <w:lang w:val="uk-UA" w:eastAsia="en-US" w:bidi="ar-SA"/>
    </w:rPr>
  </w:style>
  <w:style w:type="character" w:styleId="ListLabel127">
    <w:name w:val="ListLabel 127"/>
    <w:qFormat/>
    <w:rPr>
      <w:rFonts w:eastAsia="Times New Roman" w:cs="Times New Roman"/>
      <w:w w:val="99"/>
      <w:sz w:val="24"/>
      <w:szCs w:val="24"/>
      <w:lang w:val="uk-UA" w:eastAsia="en-US" w:bidi="ar-SA"/>
    </w:rPr>
  </w:style>
  <w:style w:type="character" w:styleId="ListLabel128">
    <w:name w:val="ListLabel 128"/>
    <w:qFormat/>
    <w:rPr>
      <w:rFonts w:eastAsia="Times New Roman" w:cs="Times New Roman"/>
      <w:w w:val="99"/>
      <w:sz w:val="24"/>
      <w:szCs w:val="24"/>
      <w:lang w:val="uk-UA" w:eastAsia="en-US" w:bidi="ar-SA"/>
    </w:rPr>
  </w:style>
  <w:style w:type="character" w:styleId="ListLabel129">
    <w:name w:val="ListLabel 129"/>
    <w:qFormat/>
    <w:rPr>
      <w:lang w:val="uk-UA" w:eastAsia="en-US" w:bidi="ar-SA"/>
    </w:rPr>
  </w:style>
  <w:style w:type="character" w:styleId="ListLabel130">
    <w:name w:val="ListLabel 130"/>
    <w:qFormat/>
    <w:rPr>
      <w:lang w:val="uk-UA" w:eastAsia="en-US" w:bidi="ar-SA"/>
    </w:rPr>
  </w:style>
  <w:style w:type="character" w:styleId="ListLabel131">
    <w:name w:val="ListLabel 131"/>
    <w:qFormat/>
    <w:rPr>
      <w:lang w:val="uk-UA" w:eastAsia="en-US" w:bidi="ar-SA"/>
    </w:rPr>
  </w:style>
  <w:style w:type="character" w:styleId="ListLabel132">
    <w:name w:val="ListLabel 132"/>
    <w:qFormat/>
    <w:rPr>
      <w:lang w:val="uk-UA" w:eastAsia="en-US" w:bidi="ar-SA"/>
    </w:rPr>
  </w:style>
  <w:style w:type="character" w:styleId="ListLabel133">
    <w:name w:val="ListLabel 133"/>
    <w:qFormat/>
    <w:rPr>
      <w:lang w:val="uk-UA" w:eastAsia="en-US" w:bidi="ar-SA"/>
    </w:rPr>
  </w:style>
  <w:style w:type="character" w:styleId="ListLabel134">
    <w:name w:val="ListLabel 134"/>
    <w:qFormat/>
    <w:rPr>
      <w:lang w:val="uk-UA" w:eastAsia="en-US" w:bidi="ar-SA"/>
    </w:rPr>
  </w:style>
  <w:style w:type="character" w:styleId="ListLabel135">
    <w:name w:val="ListLabel 135"/>
    <w:qFormat/>
    <w:rPr>
      <w:lang w:val="uk-UA" w:eastAsia="en-US" w:bidi="ar-SA"/>
    </w:rPr>
  </w:style>
  <w:style w:type="character" w:styleId="ListLabel136">
    <w:name w:val="ListLabel 136"/>
    <w:qFormat/>
    <w:rPr>
      <w:rFonts w:eastAsia="Times New Roman" w:cs="Times New Roman"/>
      <w:w w:val="99"/>
      <w:sz w:val="24"/>
      <w:szCs w:val="24"/>
      <w:lang w:val="uk-UA" w:eastAsia="en-US" w:bidi="ar-SA"/>
    </w:rPr>
  </w:style>
  <w:style w:type="character" w:styleId="ListLabel137">
    <w:name w:val="ListLabel 137"/>
    <w:qFormat/>
    <w:rPr>
      <w:lang w:val="uk-UA" w:eastAsia="en-US" w:bidi="ar-SA"/>
    </w:rPr>
  </w:style>
  <w:style w:type="character" w:styleId="ListLabel138">
    <w:name w:val="ListLabel 138"/>
    <w:qFormat/>
    <w:rPr>
      <w:lang w:val="uk-UA" w:eastAsia="en-US" w:bidi="ar-SA"/>
    </w:rPr>
  </w:style>
  <w:style w:type="character" w:styleId="ListLabel139">
    <w:name w:val="ListLabel 139"/>
    <w:qFormat/>
    <w:rPr>
      <w:lang w:val="uk-UA" w:eastAsia="en-US" w:bidi="ar-SA"/>
    </w:rPr>
  </w:style>
  <w:style w:type="character" w:styleId="ListLabel140">
    <w:name w:val="ListLabel 140"/>
    <w:qFormat/>
    <w:rPr>
      <w:lang w:val="uk-UA" w:eastAsia="en-US" w:bidi="ar-SA"/>
    </w:rPr>
  </w:style>
  <w:style w:type="character" w:styleId="ListLabel141">
    <w:name w:val="ListLabel 141"/>
    <w:qFormat/>
    <w:rPr>
      <w:lang w:val="uk-UA" w:eastAsia="en-US" w:bidi="ar-SA"/>
    </w:rPr>
  </w:style>
  <w:style w:type="character" w:styleId="ListLabel142">
    <w:name w:val="ListLabel 142"/>
    <w:qFormat/>
    <w:rPr>
      <w:lang w:val="uk-UA" w:eastAsia="en-US" w:bidi="ar-SA"/>
    </w:rPr>
  </w:style>
  <w:style w:type="character" w:styleId="ListLabel143">
    <w:name w:val="ListLabel 143"/>
    <w:qFormat/>
    <w:rPr>
      <w:lang w:val="uk-UA" w:eastAsia="en-US" w:bidi="ar-SA"/>
    </w:rPr>
  </w:style>
  <w:style w:type="character" w:styleId="ListLabel144">
    <w:name w:val="ListLabel 144"/>
    <w:qFormat/>
    <w:rPr>
      <w:lang w:val="uk-UA" w:eastAsia="en-US" w:bidi="ar-SA"/>
    </w:rPr>
  </w:style>
  <w:style w:type="character" w:styleId="ListLabel145">
    <w:name w:val="ListLabel 145"/>
    <w:qFormat/>
    <w:rPr>
      <w:rFonts w:eastAsia="Times New Roman" w:cs="Times New Roman"/>
      <w:spacing w:val="-2"/>
      <w:w w:val="99"/>
      <w:sz w:val="24"/>
      <w:szCs w:val="24"/>
      <w:lang w:val="uk-UA" w:eastAsia="en-US" w:bidi="ar-SA"/>
    </w:rPr>
  </w:style>
  <w:style w:type="character" w:styleId="ListLabel146">
    <w:name w:val="ListLabel 146"/>
    <w:qFormat/>
    <w:rPr>
      <w:lang w:val="uk-UA" w:eastAsia="en-US" w:bidi="ar-SA"/>
    </w:rPr>
  </w:style>
  <w:style w:type="character" w:styleId="ListLabel147">
    <w:name w:val="ListLabel 147"/>
    <w:qFormat/>
    <w:rPr>
      <w:lang w:val="uk-UA" w:eastAsia="en-US" w:bidi="ar-SA"/>
    </w:rPr>
  </w:style>
  <w:style w:type="character" w:styleId="ListLabel148">
    <w:name w:val="ListLabel 148"/>
    <w:qFormat/>
    <w:rPr>
      <w:lang w:val="uk-UA" w:eastAsia="en-US" w:bidi="ar-SA"/>
    </w:rPr>
  </w:style>
  <w:style w:type="character" w:styleId="ListLabel149">
    <w:name w:val="ListLabel 149"/>
    <w:qFormat/>
    <w:rPr>
      <w:lang w:val="uk-UA" w:eastAsia="en-US" w:bidi="ar-SA"/>
    </w:rPr>
  </w:style>
  <w:style w:type="character" w:styleId="ListLabel150">
    <w:name w:val="ListLabel 150"/>
    <w:qFormat/>
    <w:rPr>
      <w:lang w:val="uk-UA" w:eastAsia="en-US" w:bidi="ar-SA"/>
    </w:rPr>
  </w:style>
  <w:style w:type="character" w:styleId="ListLabel151">
    <w:name w:val="ListLabel 151"/>
    <w:qFormat/>
    <w:rPr>
      <w:lang w:val="uk-UA" w:eastAsia="en-US" w:bidi="ar-SA"/>
    </w:rPr>
  </w:style>
  <w:style w:type="character" w:styleId="ListLabel152">
    <w:name w:val="ListLabel 152"/>
    <w:qFormat/>
    <w:rPr>
      <w:lang w:val="uk-UA" w:eastAsia="en-US" w:bidi="ar-SA"/>
    </w:rPr>
  </w:style>
  <w:style w:type="character" w:styleId="ListLabel153">
    <w:name w:val="ListLabel 153"/>
    <w:qFormat/>
    <w:rPr>
      <w:lang w:val="uk-UA" w:eastAsia="en-US" w:bidi="ar-SA"/>
    </w:rPr>
  </w:style>
  <w:style w:type="character" w:styleId="ListLabel154">
    <w:name w:val="ListLabel 154"/>
    <w:qFormat/>
    <w:rPr>
      <w:rFonts w:eastAsia="Times New Roman" w:cs="Times New Roman"/>
      <w:spacing w:val="-2"/>
      <w:w w:val="99"/>
      <w:sz w:val="24"/>
      <w:szCs w:val="24"/>
      <w:lang w:val="uk-UA" w:eastAsia="en-US" w:bidi="ar-SA"/>
    </w:rPr>
  </w:style>
  <w:style w:type="character" w:styleId="ListLabel155">
    <w:name w:val="ListLabel 155"/>
    <w:qFormat/>
    <w:rPr>
      <w:rFonts w:eastAsia="Times New Roman" w:cs="Times New Roman"/>
      <w:spacing w:val="-1"/>
      <w:w w:val="99"/>
      <w:sz w:val="24"/>
      <w:szCs w:val="24"/>
      <w:lang w:val="uk-UA" w:eastAsia="en-US" w:bidi="ar-SA"/>
    </w:rPr>
  </w:style>
  <w:style w:type="character" w:styleId="ListLabel156">
    <w:name w:val="ListLabel 156"/>
    <w:qFormat/>
    <w:rPr>
      <w:lang w:val="uk-UA" w:eastAsia="en-US" w:bidi="ar-SA"/>
    </w:rPr>
  </w:style>
  <w:style w:type="character" w:styleId="ListLabel157">
    <w:name w:val="ListLabel 157"/>
    <w:qFormat/>
    <w:rPr>
      <w:lang w:val="uk-UA" w:eastAsia="en-US" w:bidi="ar-SA"/>
    </w:rPr>
  </w:style>
  <w:style w:type="character" w:styleId="ListLabel158">
    <w:name w:val="ListLabel 158"/>
    <w:qFormat/>
    <w:rPr>
      <w:lang w:val="uk-UA" w:eastAsia="en-US" w:bidi="ar-SA"/>
    </w:rPr>
  </w:style>
  <w:style w:type="character" w:styleId="ListLabel159">
    <w:name w:val="ListLabel 159"/>
    <w:qFormat/>
    <w:rPr>
      <w:lang w:val="uk-UA" w:eastAsia="en-US" w:bidi="ar-SA"/>
    </w:rPr>
  </w:style>
  <w:style w:type="character" w:styleId="ListLabel160">
    <w:name w:val="ListLabel 160"/>
    <w:qFormat/>
    <w:rPr>
      <w:lang w:val="uk-UA" w:eastAsia="en-US" w:bidi="ar-SA"/>
    </w:rPr>
  </w:style>
  <w:style w:type="character" w:styleId="ListLabel161">
    <w:name w:val="ListLabel 161"/>
    <w:qFormat/>
    <w:rPr>
      <w:lang w:val="uk-UA" w:eastAsia="en-US" w:bidi="ar-SA"/>
    </w:rPr>
  </w:style>
  <w:style w:type="character" w:styleId="ListLabel162">
    <w:name w:val="ListLabel 162"/>
    <w:qFormat/>
    <w:rPr>
      <w:lang w:val="uk-UA" w:eastAsia="en-US" w:bidi="ar-SA"/>
    </w:rPr>
  </w:style>
  <w:style w:type="character" w:styleId="ListLabel163">
    <w:name w:val="ListLabel 163"/>
    <w:qFormat/>
    <w:rPr>
      <w:rFonts w:eastAsia="Times New Roman" w:cs="Times New Roman"/>
      <w:spacing w:val="-4"/>
      <w:w w:val="99"/>
      <w:sz w:val="24"/>
      <w:szCs w:val="24"/>
      <w:lang w:val="uk-UA" w:eastAsia="en-US" w:bidi="ar-SA"/>
    </w:rPr>
  </w:style>
  <w:style w:type="character" w:styleId="ListLabel164">
    <w:name w:val="ListLabel 164"/>
    <w:qFormat/>
    <w:rPr>
      <w:rFonts w:eastAsia="Times New Roman" w:cs="Times New Roman"/>
      <w:spacing w:val="-4"/>
      <w:w w:val="99"/>
      <w:sz w:val="24"/>
      <w:szCs w:val="24"/>
      <w:lang w:val="uk-UA" w:eastAsia="en-US" w:bidi="ar-SA"/>
    </w:rPr>
  </w:style>
  <w:style w:type="character" w:styleId="ListLabel165">
    <w:name w:val="ListLabel 165"/>
    <w:qFormat/>
    <w:rPr>
      <w:lang w:val="uk-UA" w:eastAsia="en-US" w:bidi="ar-SA"/>
    </w:rPr>
  </w:style>
  <w:style w:type="character" w:styleId="ListLabel166">
    <w:name w:val="ListLabel 166"/>
    <w:qFormat/>
    <w:rPr>
      <w:lang w:val="uk-UA" w:eastAsia="en-US" w:bidi="ar-SA"/>
    </w:rPr>
  </w:style>
  <w:style w:type="character" w:styleId="ListLabel167">
    <w:name w:val="ListLabel 167"/>
    <w:qFormat/>
    <w:rPr>
      <w:lang w:val="uk-UA" w:eastAsia="en-US" w:bidi="ar-SA"/>
    </w:rPr>
  </w:style>
  <w:style w:type="character" w:styleId="ListLabel168">
    <w:name w:val="ListLabel 168"/>
    <w:qFormat/>
    <w:rPr>
      <w:lang w:val="uk-UA" w:eastAsia="en-US" w:bidi="ar-SA"/>
    </w:rPr>
  </w:style>
  <w:style w:type="character" w:styleId="ListLabel169">
    <w:name w:val="ListLabel 169"/>
    <w:qFormat/>
    <w:rPr>
      <w:lang w:val="uk-UA" w:eastAsia="en-US" w:bidi="ar-SA"/>
    </w:rPr>
  </w:style>
  <w:style w:type="character" w:styleId="ListLabel170">
    <w:name w:val="ListLabel 170"/>
    <w:qFormat/>
    <w:rPr>
      <w:lang w:val="uk-UA" w:eastAsia="en-US" w:bidi="ar-SA"/>
    </w:rPr>
  </w:style>
  <w:style w:type="character" w:styleId="ListLabel171">
    <w:name w:val="ListLabel 171"/>
    <w:qFormat/>
    <w:rPr>
      <w:lang w:val="uk-UA" w:eastAsia="en-US" w:bidi="ar-SA"/>
    </w:rPr>
  </w:style>
  <w:style w:type="character" w:styleId="ListLabel172">
    <w:name w:val="ListLabel 172"/>
    <w:qFormat/>
    <w:rPr>
      <w:rFonts w:eastAsia="Times New Roman" w:cs="Times New Roman"/>
      <w:spacing w:val="-2"/>
      <w:w w:val="99"/>
      <w:sz w:val="24"/>
      <w:szCs w:val="24"/>
      <w:lang w:val="uk-UA" w:eastAsia="en-US" w:bidi="ar-SA"/>
    </w:rPr>
  </w:style>
  <w:style w:type="character" w:styleId="ListLabel173">
    <w:name w:val="ListLabel 173"/>
    <w:qFormat/>
    <w:rPr>
      <w:rFonts w:eastAsia="Times New Roman" w:cs="Times New Roman"/>
      <w:w w:val="99"/>
      <w:sz w:val="24"/>
      <w:szCs w:val="24"/>
      <w:lang w:val="uk-UA" w:eastAsia="en-US" w:bidi="ar-SA"/>
    </w:rPr>
  </w:style>
  <w:style w:type="character" w:styleId="ListLabel174">
    <w:name w:val="ListLabel 174"/>
    <w:qFormat/>
    <w:rPr>
      <w:lang w:val="uk-UA" w:eastAsia="en-US" w:bidi="ar-SA"/>
    </w:rPr>
  </w:style>
  <w:style w:type="character" w:styleId="ListLabel175">
    <w:name w:val="ListLabel 175"/>
    <w:qFormat/>
    <w:rPr>
      <w:lang w:val="uk-UA" w:eastAsia="en-US" w:bidi="ar-SA"/>
    </w:rPr>
  </w:style>
  <w:style w:type="character" w:styleId="ListLabel176">
    <w:name w:val="ListLabel 176"/>
    <w:qFormat/>
    <w:rPr>
      <w:lang w:val="uk-UA" w:eastAsia="en-US" w:bidi="ar-SA"/>
    </w:rPr>
  </w:style>
  <w:style w:type="character" w:styleId="ListLabel177">
    <w:name w:val="ListLabel 177"/>
    <w:qFormat/>
    <w:rPr>
      <w:lang w:val="uk-UA" w:eastAsia="en-US" w:bidi="ar-SA"/>
    </w:rPr>
  </w:style>
  <w:style w:type="character" w:styleId="ListLabel178">
    <w:name w:val="ListLabel 178"/>
    <w:qFormat/>
    <w:rPr>
      <w:lang w:val="uk-UA" w:eastAsia="en-US" w:bidi="ar-SA"/>
    </w:rPr>
  </w:style>
  <w:style w:type="character" w:styleId="ListLabel179">
    <w:name w:val="ListLabel 179"/>
    <w:qFormat/>
    <w:rPr>
      <w:lang w:val="uk-UA" w:eastAsia="en-US" w:bidi="ar-SA"/>
    </w:rPr>
  </w:style>
  <w:style w:type="character" w:styleId="ListLabel180">
    <w:name w:val="ListLabel 180"/>
    <w:qFormat/>
    <w:rPr>
      <w:lang w:val="uk-UA" w:eastAsia="en-US" w:bidi="ar-SA"/>
    </w:rPr>
  </w:style>
  <w:style w:type="character" w:styleId="ListLabel181">
    <w:name w:val="ListLabel 181"/>
    <w:qFormat/>
    <w:rPr>
      <w:sz w:val="20"/>
    </w:rPr>
  </w:style>
  <w:style w:type="character" w:styleId="ListLabel182">
    <w:name w:val="ListLabel 182"/>
    <w:qFormat/>
    <w:rPr>
      <w:sz w:val="20"/>
    </w:rPr>
  </w:style>
  <w:style w:type="character" w:styleId="ListLabel183">
    <w:name w:val="ListLabel 183"/>
    <w:qFormat/>
    <w:rPr>
      <w:sz w:val="20"/>
    </w:rPr>
  </w:style>
  <w:style w:type="character" w:styleId="ListLabel184">
    <w:name w:val="ListLabel 184"/>
    <w:qFormat/>
    <w:rPr>
      <w:sz w:val="20"/>
    </w:rPr>
  </w:style>
  <w:style w:type="character" w:styleId="ListLabel185">
    <w:name w:val="ListLabel 185"/>
    <w:qFormat/>
    <w:rPr>
      <w:sz w:val="20"/>
    </w:rPr>
  </w:style>
  <w:style w:type="character" w:styleId="ListLabel186">
    <w:name w:val="ListLabel 186"/>
    <w:qFormat/>
    <w:rPr>
      <w:sz w:val="20"/>
    </w:rPr>
  </w:style>
  <w:style w:type="character" w:styleId="ListLabel187">
    <w:name w:val="ListLabel 187"/>
    <w:qFormat/>
    <w:rPr>
      <w:sz w:val="20"/>
    </w:rPr>
  </w:style>
  <w:style w:type="character" w:styleId="ListLabel188">
    <w:name w:val="ListLabel 188"/>
    <w:qFormat/>
    <w:rPr>
      <w:sz w:val="20"/>
    </w:rPr>
  </w:style>
  <w:style w:type="character" w:styleId="ListLabel189">
    <w:name w:val="ListLabel 189"/>
    <w:qFormat/>
    <w:rPr>
      <w:sz w:val="20"/>
    </w:rPr>
  </w:style>
  <w:style w:type="character" w:styleId="ListLabel190">
    <w:name w:val="ListLabel 190"/>
    <w:qFormat/>
    <w:rPr>
      <w:rFonts w:cs="Courier New"/>
    </w:rPr>
  </w:style>
  <w:style w:type="character" w:styleId="ListLabel191">
    <w:name w:val="ListLabel 191"/>
    <w:qFormat/>
    <w:rPr>
      <w:rFonts w:cs="Courier New"/>
    </w:rPr>
  </w:style>
  <w:style w:type="character" w:styleId="ListLabel192">
    <w:name w:val="ListLabel 192"/>
    <w:qFormat/>
    <w:rPr>
      <w:rFonts w:cs="Courier New"/>
    </w:rPr>
  </w:style>
  <w:style w:type="character" w:styleId="ListLabel193">
    <w:name w:val="ListLabel 193"/>
    <w:qFormat/>
    <w:rPr>
      <w:rFonts w:eastAsia="Times New Roman" w:cs="Times New Roman"/>
      <w:spacing w:val="-1"/>
      <w:w w:val="99"/>
      <w:sz w:val="24"/>
      <w:szCs w:val="24"/>
      <w:lang w:val="uk-UA" w:eastAsia="en-US" w:bidi="ar-SA"/>
    </w:rPr>
  </w:style>
  <w:style w:type="character" w:styleId="ListLabel194">
    <w:name w:val="ListLabel 194"/>
    <w:qFormat/>
    <w:rPr>
      <w:rFonts w:eastAsia="Times New Roman" w:cs="Times New Roman"/>
      <w:w w:val="99"/>
      <w:sz w:val="24"/>
      <w:szCs w:val="24"/>
      <w:lang w:val="uk-UA" w:eastAsia="en-US" w:bidi="ar-SA"/>
    </w:rPr>
  </w:style>
  <w:style w:type="character" w:styleId="ListLabel195">
    <w:name w:val="ListLabel 195"/>
    <w:qFormat/>
    <w:rPr>
      <w:lang w:val="uk-UA" w:eastAsia="en-US" w:bidi="ar-SA"/>
    </w:rPr>
  </w:style>
  <w:style w:type="character" w:styleId="ListLabel196">
    <w:name w:val="ListLabel 196"/>
    <w:qFormat/>
    <w:rPr>
      <w:lang w:val="uk-UA" w:eastAsia="en-US" w:bidi="ar-SA"/>
    </w:rPr>
  </w:style>
  <w:style w:type="character" w:styleId="ListLabel197">
    <w:name w:val="ListLabel 197"/>
    <w:qFormat/>
    <w:rPr>
      <w:lang w:val="uk-UA" w:eastAsia="en-US" w:bidi="ar-SA"/>
    </w:rPr>
  </w:style>
  <w:style w:type="character" w:styleId="ListLabel198">
    <w:name w:val="ListLabel 198"/>
    <w:qFormat/>
    <w:rPr>
      <w:lang w:val="uk-UA" w:eastAsia="en-US" w:bidi="ar-SA"/>
    </w:rPr>
  </w:style>
  <w:style w:type="character" w:styleId="ListLabel199">
    <w:name w:val="ListLabel 199"/>
    <w:qFormat/>
    <w:rPr>
      <w:lang w:val="uk-UA" w:eastAsia="en-US" w:bidi="ar-SA"/>
    </w:rPr>
  </w:style>
  <w:style w:type="character" w:styleId="ListLabel200">
    <w:name w:val="ListLabel 200"/>
    <w:qFormat/>
    <w:rPr>
      <w:lang w:val="uk-UA" w:eastAsia="en-US" w:bidi="ar-SA"/>
    </w:rPr>
  </w:style>
  <w:style w:type="character" w:styleId="ListLabel201">
    <w:name w:val="ListLabel 201"/>
    <w:qFormat/>
    <w:rPr>
      <w:lang w:val="uk-UA" w:eastAsia="en-US" w:bidi="ar-SA"/>
    </w:rPr>
  </w:style>
  <w:style w:type="character" w:styleId="ListLabel202">
    <w:name w:val="ListLabel 202"/>
    <w:qFormat/>
    <w:rPr>
      <w:rFonts w:eastAsia="Times New Roman" w:cs="Times New Roman"/>
      <w:spacing w:val="-2"/>
      <w:w w:val="99"/>
      <w:sz w:val="24"/>
      <w:szCs w:val="24"/>
      <w:lang w:val="uk-UA" w:eastAsia="en-US" w:bidi="ar-SA"/>
    </w:rPr>
  </w:style>
  <w:style w:type="character" w:styleId="ListLabel203">
    <w:name w:val="ListLabel 203"/>
    <w:qFormat/>
    <w:rPr>
      <w:rFonts w:eastAsia="Times New Roman" w:cs="Times New Roman"/>
      <w:w w:val="99"/>
      <w:sz w:val="24"/>
      <w:szCs w:val="24"/>
      <w:lang w:val="uk-UA" w:eastAsia="en-US" w:bidi="ar-SA"/>
    </w:rPr>
  </w:style>
  <w:style w:type="character" w:styleId="ListLabel204">
    <w:name w:val="ListLabel 204"/>
    <w:qFormat/>
    <w:rPr>
      <w:lang w:val="uk-UA" w:eastAsia="en-US" w:bidi="ar-SA"/>
    </w:rPr>
  </w:style>
  <w:style w:type="character" w:styleId="ListLabel205">
    <w:name w:val="ListLabel 205"/>
    <w:qFormat/>
    <w:rPr>
      <w:lang w:val="uk-UA" w:eastAsia="en-US" w:bidi="ar-SA"/>
    </w:rPr>
  </w:style>
  <w:style w:type="character" w:styleId="ListLabel206">
    <w:name w:val="ListLabel 206"/>
    <w:qFormat/>
    <w:rPr>
      <w:lang w:val="uk-UA" w:eastAsia="en-US" w:bidi="ar-SA"/>
    </w:rPr>
  </w:style>
  <w:style w:type="character" w:styleId="ListLabel207">
    <w:name w:val="ListLabel 207"/>
    <w:qFormat/>
    <w:rPr>
      <w:lang w:val="uk-UA" w:eastAsia="en-US" w:bidi="ar-SA"/>
    </w:rPr>
  </w:style>
  <w:style w:type="character" w:styleId="ListLabel208">
    <w:name w:val="ListLabel 208"/>
    <w:qFormat/>
    <w:rPr>
      <w:lang w:val="uk-UA" w:eastAsia="en-US" w:bidi="ar-SA"/>
    </w:rPr>
  </w:style>
  <w:style w:type="character" w:styleId="ListLabel209">
    <w:name w:val="ListLabel 209"/>
    <w:qFormat/>
    <w:rPr>
      <w:lang w:val="uk-UA" w:eastAsia="en-US" w:bidi="ar-SA"/>
    </w:rPr>
  </w:style>
  <w:style w:type="character" w:styleId="ListLabel210">
    <w:name w:val="ListLabel 210"/>
    <w:qFormat/>
    <w:rPr>
      <w:lang w:val="uk-UA" w:eastAsia="en-US" w:bidi="ar-SA"/>
    </w:rPr>
  </w:style>
  <w:style w:type="character" w:styleId="Style24">
    <w:name w:val="Символи виноски"/>
    <w:qFormat/>
    <w:rPr/>
  </w:style>
  <w:style w:type="character" w:styleId="Style25">
    <w:name w:val="Прив'язка кінцевої виноски"/>
    <w:rPr>
      <w:vertAlign w:val="superscript"/>
    </w:rPr>
  </w:style>
  <w:style w:type="character" w:styleId="Style26">
    <w:name w:val="Символи кінцевої виноски"/>
    <w:qFormat/>
    <w:rPr/>
  </w:style>
  <w:style w:type="paragraph" w:styleId="Style27">
    <w:name w:val="Заголовок"/>
    <w:basedOn w:val="Normal"/>
    <w:next w:val="Style28"/>
    <w:qFormat/>
    <w:pPr>
      <w:keepNext w:val="true"/>
      <w:spacing w:before="240" w:after="120"/>
    </w:pPr>
    <w:rPr>
      <w:rFonts w:ascii="Liberation Sans" w:hAnsi="Liberation Sans" w:eastAsia="Microsoft YaHei" w:cs="Arial"/>
      <w:sz w:val="28"/>
      <w:szCs w:val="28"/>
    </w:rPr>
  </w:style>
  <w:style w:type="paragraph" w:styleId="Style28">
    <w:name w:val="Body Text"/>
    <w:basedOn w:val="Normal"/>
    <w:link w:val="14"/>
    <w:pPr>
      <w:spacing w:before="0" w:after="120"/>
    </w:pPr>
    <w:rPr>
      <w:lang w:val="x-none"/>
    </w:rPr>
  </w:style>
  <w:style w:type="paragraph" w:styleId="Style29">
    <w:name w:val="List"/>
    <w:basedOn w:val="Style28"/>
    <w:pPr/>
    <w:rPr>
      <w:rFonts w:cs="Lucida Sans"/>
    </w:rPr>
  </w:style>
  <w:style w:type="paragraph" w:styleId="Style30">
    <w:name w:val="Caption"/>
    <w:basedOn w:val="Normal"/>
    <w:qFormat/>
    <w:pPr>
      <w:suppressLineNumbers/>
      <w:spacing w:before="120" w:after="120"/>
    </w:pPr>
    <w:rPr>
      <w:rFonts w:cs="Arial"/>
      <w:i/>
      <w:iCs/>
      <w:sz w:val="24"/>
      <w:szCs w:val="24"/>
    </w:rPr>
  </w:style>
  <w:style w:type="paragraph" w:styleId="Style31">
    <w:name w:val="Покажчик"/>
    <w:basedOn w:val="Normal"/>
    <w:qFormat/>
    <w:pPr>
      <w:suppressLineNumbers/>
    </w:pPr>
    <w:rPr>
      <w:rFonts w:cs="Arial"/>
    </w:rPr>
  </w:style>
  <w:style w:type="paragraph" w:styleId="111" w:customStyle="1">
    <w:name w:val="Заголовок1"/>
    <w:basedOn w:val="Normal"/>
    <w:next w:val="Style28"/>
    <w:qFormat/>
    <w:pPr>
      <w:keepNext w:val="true"/>
      <w:spacing w:before="240" w:after="120"/>
    </w:pPr>
    <w:rPr>
      <w:rFonts w:ascii="Arial" w:hAnsi="Arial" w:eastAsia="Microsoft YaHei" w:cs="Lucida Sans"/>
      <w:sz w:val="28"/>
      <w:szCs w:val="28"/>
    </w:rPr>
  </w:style>
  <w:style w:type="paragraph" w:styleId="112" w:customStyle="1">
    <w:name w:val="Название1"/>
    <w:basedOn w:val="Normal"/>
    <w:qFormat/>
    <w:pPr>
      <w:suppressLineNumbers/>
      <w:spacing w:before="120" w:after="120"/>
    </w:pPr>
    <w:rPr>
      <w:rFonts w:cs="Lucida Sans"/>
      <w:i/>
      <w:iCs/>
    </w:rPr>
  </w:style>
  <w:style w:type="paragraph" w:styleId="113" w:customStyle="1">
    <w:name w:val="Указатель1"/>
    <w:basedOn w:val="Normal"/>
    <w:qFormat/>
    <w:pPr>
      <w:suppressLineNumbers/>
    </w:pPr>
    <w:rPr>
      <w:rFonts w:cs="Lucida Sans"/>
    </w:rPr>
  </w:style>
  <w:style w:type="paragraph" w:styleId="BalloonText">
    <w:name w:val="Balloon Text"/>
    <w:basedOn w:val="Normal"/>
    <w:link w:val="ad"/>
    <w:uiPriority w:val="99"/>
    <w:qFormat/>
    <w:pPr/>
    <w:rPr>
      <w:rFonts w:ascii="Tahoma" w:hAnsi="Tahoma" w:cs="Tahoma"/>
      <w:sz w:val="16"/>
      <w:szCs w:val="16"/>
    </w:rPr>
  </w:style>
  <w:style w:type="paragraph" w:styleId="Style32">
    <w:name w:val="Footer"/>
    <w:basedOn w:val="Normal"/>
    <w:link w:val="af"/>
    <w:uiPriority w:val="99"/>
    <w:pPr>
      <w:tabs>
        <w:tab w:val="clear" w:pos="708"/>
        <w:tab w:val="center" w:pos="4677" w:leader="none"/>
        <w:tab w:val="right" w:pos="9355" w:leader="none"/>
      </w:tabs>
    </w:pPr>
    <w:rPr/>
  </w:style>
  <w:style w:type="paragraph" w:styleId="Style33">
    <w:name w:val="Header"/>
    <w:basedOn w:val="Normal"/>
    <w:link w:val="af1"/>
    <w:uiPriority w:val="99"/>
    <w:pPr>
      <w:tabs>
        <w:tab w:val="clear" w:pos="708"/>
        <w:tab w:val="center" w:pos="4677" w:leader="none"/>
        <w:tab w:val="right" w:pos="9355" w:leader="none"/>
      </w:tabs>
    </w:pPr>
    <w:rPr/>
  </w:style>
  <w:style w:type="paragraph" w:styleId="Style34">
    <w:name w:val="Body Text Indent"/>
    <w:basedOn w:val="Normal"/>
    <w:link w:val="17"/>
    <w:pPr>
      <w:ind w:left="4962" w:hanging="4962"/>
    </w:pPr>
    <w:rPr>
      <w:szCs w:val="28"/>
      <w:lang w:val="uk-UA"/>
    </w:rPr>
  </w:style>
  <w:style w:type="paragraph" w:styleId="NoSpacing">
    <w:name w:val="No Spacing"/>
    <w:link w:val="af4"/>
    <w:uiPriority w:val="1"/>
    <w:qFormat/>
    <w:pPr>
      <w:widowControl/>
      <w:suppressAutoHyphens w:val="true"/>
      <w:bidi w:val="0"/>
      <w:jc w:val="left"/>
    </w:pPr>
    <w:rPr>
      <w:rFonts w:ascii="Calibri" w:hAnsi="Calibri" w:eastAsia="Calibri" w:cs="Calibri"/>
      <w:color w:val="auto"/>
      <w:kern w:val="0"/>
      <w:sz w:val="22"/>
      <w:szCs w:val="22"/>
      <w:lang w:val="en-GB" w:eastAsia="ar-SA" w:bidi="ar-SA"/>
    </w:rPr>
  </w:style>
  <w:style w:type="paragraph" w:styleId="114" w:customStyle="1">
    <w:name w:val="Обычный (веб)1"/>
    <w:basedOn w:val="Normal"/>
    <w:qFormat/>
    <w:pPr>
      <w:spacing w:before="280" w:after="280"/>
    </w:pPr>
    <w:rPr/>
  </w:style>
  <w:style w:type="paragraph" w:styleId="ListParagraph">
    <w:name w:val="List Paragraph"/>
    <w:basedOn w:val="Normal"/>
    <w:link w:val="af6"/>
    <w:uiPriority w:val="34"/>
    <w:qFormat/>
    <w:pPr>
      <w:spacing w:lineRule="auto" w:line="254" w:before="0" w:after="160"/>
      <w:ind w:left="720" w:hanging="0"/>
    </w:pPr>
    <w:rPr>
      <w:rFonts w:ascii="Calibri" w:hAnsi="Calibri" w:cs="Calibri"/>
      <w:sz w:val="22"/>
      <w:szCs w:val="22"/>
    </w:rPr>
  </w:style>
  <w:style w:type="paragraph" w:styleId="115" w:customStyle="1">
    <w:name w:val="Текст примечания1"/>
    <w:basedOn w:val="Normal"/>
    <w:qFormat/>
    <w:pPr/>
    <w:rPr>
      <w:sz w:val="20"/>
      <w:szCs w:val="20"/>
    </w:rPr>
  </w:style>
  <w:style w:type="paragraph" w:styleId="Annotationsubject">
    <w:name w:val="annotation subject"/>
    <w:basedOn w:val="115"/>
    <w:next w:val="115"/>
    <w:link w:val="1a"/>
    <w:uiPriority w:val="99"/>
    <w:qFormat/>
    <w:pPr/>
    <w:rPr>
      <w:b/>
      <w:bCs/>
    </w:rPr>
  </w:style>
  <w:style w:type="paragraph" w:styleId="Style35" w:customStyle="1">
    <w:name w:val="Содержимое таблицы"/>
    <w:basedOn w:val="Normal"/>
    <w:qFormat/>
    <w:pPr>
      <w:suppressLineNumbers/>
    </w:pPr>
    <w:rPr/>
  </w:style>
  <w:style w:type="paragraph" w:styleId="Style36" w:customStyle="1">
    <w:name w:val="Заголовок таблицы"/>
    <w:basedOn w:val="Style35"/>
    <w:qFormat/>
    <w:pPr>
      <w:jc w:val="center"/>
    </w:pPr>
    <w:rPr>
      <w:b/>
      <w:bCs/>
    </w:rPr>
  </w:style>
  <w:style w:type="paragraph" w:styleId="Style37" w:customStyle="1">
    <w:name w:val="Содержимое врезки"/>
    <w:basedOn w:val="Style28"/>
    <w:qFormat/>
    <w:pPr/>
    <w:rPr/>
  </w:style>
  <w:style w:type="paragraph" w:styleId="116" w:customStyle="1">
    <w:name w:val="Текст сноски1"/>
    <w:basedOn w:val="Normal"/>
    <w:qFormat/>
    <w:rsid w:val="00743b70"/>
    <w:pPr>
      <w:widowControl w:val="false"/>
      <w:textAlignment w:val="baseline"/>
    </w:pPr>
    <w:rPr>
      <w:rFonts w:eastAsia="SimSun" w:cs="Mangal"/>
      <w:kern w:val="2"/>
      <w:sz w:val="20"/>
      <w:szCs w:val="18"/>
      <w:lang w:val="uk-UA" w:eastAsia="zh-CN" w:bidi="hi-IN"/>
    </w:rPr>
  </w:style>
  <w:style w:type="paragraph" w:styleId="Style38">
    <w:name w:val="Footnote Text"/>
    <w:basedOn w:val="Normal"/>
    <w:link w:val="afd"/>
    <w:uiPriority w:val="99"/>
    <w:unhideWhenUsed/>
    <w:qFormat/>
    <w:rsid w:val="0011378d"/>
    <w:pPr/>
    <w:rPr>
      <w:sz w:val="20"/>
      <w:szCs w:val="20"/>
    </w:rPr>
  </w:style>
  <w:style w:type="paragraph" w:styleId="TOCHeading">
    <w:name w:val="TOC Heading"/>
    <w:basedOn w:val="1"/>
    <w:next w:val="Normal"/>
    <w:uiPriority w:val="39"/>
    <w:unhideWhenUsed/>
    <w:qFormat/>
    <w:rsid w:val="00ad4544"/>
    <w:pPr>
      <w:spacing w:lineRule="auto" w:line="259"/>
      <w:jc w:val="left"/>
    </w:pPr>
    <w:rPr>
      <w:lang w:val="en-US"/>
    </w:rPr>
  </w:style>
  <w:style w:type="paragraph" w:styleId="24">
    <w:name w:val="TOC 2"/>
    <w:basedOn w:val="Normal"/>
    <w:next w:val="Normal"/>
    <w:autoRedefine/>
    <w:uiPriority w:val="39"/>
    <w:unhideWhenUsed/>
    <w:rsid w:val="00ad4544"/>
    <w:pPr>
      <w:tabs>
        <w:tab w:val="clear" w:pos="708"/>
        <w:tab w:val="left" w:pos="964" w:leader="none"/>
        <w:tab w:val="right" w:pos="9060" w:leader="dot"/>
      </w:tabs>
      <w:suppressAutoHyphens w:val="false"/>
      <w:spacing w:lineRule="auto" w:line="276" w:before="120" w:after="120"/>
      <w:ind w:left="738" w:hanging="454"/>
      <w:jc w:val="both"/>
    </w:pPr>
    <w:rPr>
      <w:rFonts w:ascii="Arial" w:hAnsi="Arial" w:eastAsia="" w:eastAsiaTheme="minorEastAsia"/>
      <w:color w:val="0D0D0D" w:themeColor="text1" w:themeTint="f2"/>
      <w:sz w:val="22"/>
      <w:szCs w:val="22"/>
      <w:lang w:val="en-US" w:eastAsia="en-US"/>
    </w:rPr>
  </w:style>
  <w:style w:type="paragraph" w:styleId="117">
    <w:name w:val="TOC 1"/>
    <w:basedOn w:val="Normal"/>
    <w:next w:val="Normal"/>
    <w:autoRedefine/>
    <w:uiPriority w:val="39"/>
    <w:unhideWhenUsed/>
    <w:rsid w:val="00ad4544"/>
    <w:pPr>
      <w:keepLines/>
      <w:tabs>
        <w:tab w:val="clear" w:pos="708"/>
        <w:tab w:val="left" w:pos="567" w:leader="none"/>
        <w:tab w:val="right" w:pos="9496" w:leader="dot"/>
      </w:tabs>
      <w:suppressAutoHyphens w:val="false"/>
      <w:spacing w:lineRule="auto" w:line="276" w:before="120" w:after="0"/>
      <w:ind w:left="340" w:hanging="340"/>
      <w:jc w:val="both"/>
    </w:pPr>
    <w:rPr>
      <w:rFonts w:ascii="Arial" w:hAnsi="Arial" w:eastAsia="" w:eastAsiaTheme="minorEastAsia"/>
      <w:b/>
      <w:caps/>
      <w:color w:val="0D0D0D" w:themeColor="text1" w:themeTint="f2"/>
      <w:sz w:val="22"/>
      <w:szCs w:val="22"/>
      <w:lang w:val="en-US" w:eastAsia="en-US"/>
    </w:rPr>
  </w:style>
  <w:style w:type="paragraph" w:styleId="34">
    <w:name w:val="TOC 3"/>
    <w:basedOn w:val="Normal"/>
    <w:next w:val="Normal"/>
    <w:autoRedefine/>
    <w:uiPriority w:val="39"/>
    <w:unhideWhenUsed/>
    <w:rsid w:val="00ad4544"/>
    <w:pPr>
      <w:tabs>
        <w:tab w:val="clear" w:pos="708"/>
        <w:tab w:val="left" w:pos="1701" w:leader="none"/>
        <w:tab w:val="right" w:pos="9486" w:leader="dot"/>
      </w:tabs>
      <w:suppressAutoHyphens w:val="false"/>
      <w:spacing w:lineRule="auto" w:line="276" w:before="120" w:after="120"/>
      <w:ind w:left="964" w:hanging="284"/>
    </w:pPr>
    <w:rPr>
      <w:rFonts w:ascii="Arial" w:hAnsi="Arial" w:eastAsia="" w:eastAsiaTheme="minorEastAsia"/>
      <w:color w:val="0D0D0D" w:themeColor="text1" w:themeTint="f2"/>
      <w:sz w:val="22"/>
      <w:szCs w:val="22"/>
      <w:lang w:val="en-US" w:eastAsia="en-US"/>
    </w:rPr>
  </w:style>
  <w:style w:type="paragraph" w:styleId="42">
    <w:name w:val="TOC 4"/>
    <w:basedOn w:val="Normal"/>
    <w:next w:val="Normal"/>
    <w:autoRedefine/>
    <w:uiPriority w:val="39"/>
    <w:semiHidden/>
    <w:unhideWhenUsed/>
    <w:rsid w:val="00ad4544"/>
    <w:pPr>
      <w:suppressAutoHyphens w:val="false"/>
      <w:spacing w:lineRule="auto" w:line="276" w:before="120" w:after="100"/>
      <w:ind w:left="1701" w:hanging="964"/>
      <w:jc w:val="both"/>
    </w:pPr>
    <w:rPr>
      <w:rFonts w:ascii="Arial" w:hAnsi="Arial" w:eastAsia="Calibri" w:cs="" w:cstheme="minorBidi" w:eastAsiaTheme="minorHAnsi"/>
      <w:color w:val="0D0D0D" w:themeColor="text1" w:themeTint="f2"/>
      <w:sz w:val="22"/>
      <w:szCs w:val="22"/>
      <w:lang w:val="uk-UA" w:eastAsia="en-US"/>
    </w:rPr>
  </w:style>
  <w:style w:type="paragraph" w:styleId="Style39">
    <w:name w:val="Title"/>
    <w:basedOn w:val="3"/>
    <w:next w:val="Normal"/>
    <w:link w:val="aff1"/>
    <w:uiPriority w:val="10"/>
    <w:qFormat/>
    <w:rsid w:val="00ad4544"/>
    <w:pPr>
      <w:tabs>
        <w:tab w:val="clear" w:pos="708"/>
        <w:tab w:val="left" w:pos="1446" w:leader="none"/>
      </w:tabs>
      <w:suppressAutoHyphens w:val="false"/>
      <w:spacing w:lineRule="auto" w:line="276" w:before="120" w:after="120"/>
      <w:ind w:left="792" w:hanging="792"/>
      <w:jc w:val="both"/>
    </w:pPr>
    <w:rPr>
      <w:rFonts w:ascii="Arial" w:hAnsi="Arial"/>
      <w:b/>
      <w:color w:val="4472C4" w:themeColor="accent1"/>
      <w:spacing w:val="-10"/>
      <w:kern w:val="2"/>
      <w:sz w:val="22"/>
      <w:szCs w:val="56"/>
      <w:lang w:val="uk-UA" w:eastAsia="en-US"/>
    </w:rPr>
  </w:style>
  <w:style w:type="paragraph" w:styleId="Style40">
    <w:name w:val="Subtitle"/>
    <w:basedOn w:val="Normal"/>
    <w:next w:val="Normal"/>
    <w:link w:val="aff3"/>
    <w:uiPriority w:val="11"/>
    <w:qFormat/>
    <w:rsid w:val="00ad4544"/>
    <w:pPr>
      <w:suppressAutoHyphens w:val="false"/>
      <w:spacing w:lineRule="auto" w:line="276" w:before="120" w:after="160"/>
      <w:jc w:val="both"/>
    </w:pPr>
    <w:rPr>
      <w:rFonts w:ascii="Calibri" w:hAnsi="Calibri" w:eastAsia="" w:cs="" w:asciiTheme="minorHAnsi" w:cstheme="minorBidi" w:eastAsiaTheme="minorEastAsia" w:hAnsiTheme="minorHAnsi"/>
      <w:color w:val="5A5A5A" w:themeColor="text1" w:themeTint="a5"/>
      <w:spacing w:val="15"/>
      <w:sz w:val="22"/>
      <w:szCs w:val="22"/>
      <w:lang w:val="uk-UA" w:eastAsia="en-US"/>
    </w:rPr>
  </w:style>
  <w:style w:type="paragraph" w:styleId="Normalbullets" w:customStyle="1">
    <w:name w:val="Normal bullets"/>
    <w:basedOn w:val="Normal"/>
    <w:link w:val="NormalbulletsChar"/>
    <w:qFormat/>
    <w:rsid w:val="00ad4544"/>
    <w:pPr>
      <w:suppressAutoHyphens w:val="false"/>
      <w:spacing w:lineRule="auto" w:line="276" w:before="0" w:after="120"/>
      <w:contextualSpacing/>
    </w:pPr>
    <w:rPr>
      <w:rFonts w:cs="" w:asciiTheme="minorBidi" w:cstheme="minorBidi" w:hAnsiTheme="minorBidi"/>
      <w:color w:val="22292E"/>
      <w:sz w:val="20"/>
      <w:szCs w:val="20"/>
      <w:lang w:val="en-US" w:eastAsia="de-DE"/>
    </w:rPr>
  </w:style>
  <w:style w:type="paragraph" w:styleId="Caption">
    <w:name w:val="caption"/>
    <w:basedOn w:val="Normal"/>
    <w:next w:val="Normal"/>
    <w:link w:val="aff5"/>
    <w:uiPriority w:val="35"/>
    <w:unhideWhenUsed/>
    <w:qFormat/>
    <w:rsid w:val="00ad4544"/>
    <w:pPr>
      <w:suppressAutoHyphens w:val="false"/>
      <w:spacing w:lineRule="auto" w:line="276" w:before="120" w:after="120"/>
      <w:jc w:val="both"/>
    </w:pPr>
    <w:rPr>
      <w:rFonts w:ascii="Arial" w:hAnsi="Arial" w:eastAsia="Calibri" w:cs="" w:cstheme="minorBidi" w:eastAsiaTheme="minorHAnsi"/>
      <w:i/>
      <w:iCs/>
      <w:color w:val="0D0D0D" w:themeColor="text1" w:themeTint="f2"/>
      <w:sz w:val="22"/>
      <w:szCs w:val="18"/>
      <w:lang w:val="uk-UA" w:eastAsia="en-US"/>
    </w:rPr>
  </w:style>
  <w:style w:type="paragraph" w:styleId="Style210" w:customStyle="1">
    <w:name w:val="Style2"/>
    <w:basedOn w:val="3"/>
    <w:link w:val="Style2Char"/>
    <w:qFormat/>
    <w:rsid w:val="00ad4544"/>
    <w:pPr>
      <w:suppressAutoHyphens w:val="false"/>
      <w:spacing w:lineRule="auto" w:line="276" w:before="120" w:after="120"/>
      <w:jc w:val="both"/>
      <w:outlineLvl w:val="0"/>
    </w:pPr>
    <w:rPr>
      <w:rFonts w:ascii="Arial" w:hAnsi="Arial"/>
      <w:b/>
      <w:smallCaps/>
      <w:color w:val="A6005C"/>
      <w:lang w:val="uk-UA" w:eastAsia="en-US"/>
    </w:rPr>
  </w:style>
  <w:style w:type="paragraph" w:styleId="Body1" w:customStyle="1">
    <w:name w:val="Body1"/>
    <w:basedOn w:val="Normal"/>
    <w:link w:val="Body1Char"/>
    <w:qFormat/>
    <w:rsid w:val="00ad4544"/>
    <w:pPr>
      <w:suppressAutoHyphens w:val="false"/>
      <w:spacing w:before="120" w:after="120"/>
      <w:jc w:val="both"/>
    </w:pPr>
    <w:rPr>
      <w:rFonts w:ascii="Arial" w:hAnsi="Arial" w:eastAsia="Calibri" w:cs="Arial" w:eastAsiaTheme="minorHAnsi"/>
      <w:bCs/>
      <w:color w:val="000000" w:themeColor="text1"/>
      <w:sz w:val="22"/>
      <w:szCs w:val="22"/>
      <w:lang w:val="uk-UA" w:eastAsia="en-US"/>
    </w:rPr>
  </w:style>
  <w:style w:type="paragraph" w:styleId="Annotationtext">
    <w:name w:val="annotation text"/>
    <w:basedOn w:val="Normal"/>
    <w:link w:val="1f1"/>
    <w:uiPriority w:val="99"/>
    <w:unhideWhenUsed/>
    <w:qFormat/>
    <w:rsid w:val="00ad4544"/>
    <w:pPr>
      <w:suppressAutoHyphens w:val="false"/>
      <w:spacing w:before="120" w:after="120"/>
      <w:jc w:val="both"/>
    </w:pPr>
    <w:rPr>
      <w:rFonts w:ascii="Arial" w:hAnsi="Arial" w:eastAsia="Calibri" w:cs="" w:cstheme="minorBidi" w:eastAsiaTheme="minorHAnsi"/>
      <w:color w:val="0D0D0D" w:themeColor="text1" w:themeTint="f2"/>
      <w:sz w:val="20"/>
      <w:szCs w:val="20"/>
      <w:lang w:val="uk-UA" w:eastAsia="en-US"/>
    </w:rPr>
  </w:style>
  <w:style w:type="paragraph" w:styleId="Tableoffigures">
    <w:name w:val="table of figures"/>
    <w:basedOn w:val="Normal"/>
    <w:next w:val="Normal"/>
    <w:uiPriority w:val="99"/>
    <w:unhideWhenUsed/>
    <w:qFormat/>
    <w:rsid w:val="00ad4544"/>
    <w:pPr>
      <w:suppressAutoHyphens w:val="false"/>
      <w:spacing w:lineRule="auto" w:line="276" w:before="120" w:after="0"/>
      <w:jc w:val="both"/>
    </w:pPr>
    <w:rPr>
      <w:rFonts w:ascii="Arial" w:hAnsi="Arial" w:eastAsia="Calibri" w:cs="" w:cstheme="minorBidi" w:eastAsiaTheme="minorHAnsi"/>
      <w:color w:val="0D0D0D" w:themeColor="text1" w:themeTint="f2"/>
      <w:sz w:val="22"/>
      <w:szCs w:val="22"/>
      <w:lang w:val="uk-UA" w:eastAsia="en-US"/>
    </w:rPr>
  </w:style>
  <w:style w:type="paragraph" w:styleId="Revision">
    <w:name w:val="Revision"/>
    <w:uiPriority w:val="99"/>
    <w:semiHidden/>
    <w:qFormat/>
    <w:rsid w:val="00ad4544"/>
    <w:pPr>
      <w:widowControl/>
      <w:bidi w:val="0"/>
      <w:jc w:val="left"/>
    </w:pPr>
    <w:rPr>
      <w:rFonts w:ascii="Arial" w:hAnsi="Arial" w:eastAsia="Calibri" w:cs="" w:cstheme="minorBidi" w:eastAsiaTheme="minorHAnsi"/>
      <w:color w:val="0D0D0D" w:themeColor="text1" w:themeTint="f2"/>
      <w:kern w:val="0"/>
      <w:sz w:val="22"/>
      <w:szCs w:val="22"/>
      <w:lang w:val="en-GB" w:eastAsia="en-US" w:bidi="ar-SA"/>
    </w:rPr>
  </w:style>
  <w:style w:type="paragraph" w:styleId="NormalWeb">
    <w:name w:val="Normal (Web)"/>
    <w:basedOn w:val="Normal"/>
    <w:uiPriority w:val="99"/>
    <w:unhideWhenUsed/>
    <w:qFormat/>
    <w:rsid w:val="00ad4544"/>
    <w:pPr>
      <w:suppressAutoHyphens w:val="false"/>
      <w:spacing w:beforeAutospacing="1" w:afterAutospacing="1"/>
    </w:pPr>
    <w:rPr>
      <w:lang w:val="en-US" w:eastAsia="en-US"/>
    </w:rPr>
  </w:style>
  <w:style w:type="paragraph" w:styleId="Bulletst1" w:customStyle="1">
    <w:name w:val="Bullet st1"/>
    <w:basedOn w:val="Normal"/>
    <w:link w:val="Bulletst1Char"/>
    <w:qFormat/>
    <w:rsid w:val="00ad4544"/>
    <w:pPr>
      <w:widowControl w:val="false"/>
      <w:suppressAutoHyphens w:val="false"/>
      <w:spacing w:lineRule="auto" w:line="276" w:before="120" w:after="120"/>
      <w:contextualSpacing/>
      <w:jc w:val="both"/>
    </w:pPr>
    <w:rPr>
      <w:rFonts w:ascii="Arial" w:hAnsi="Arial" w:eastAsia="" w:cs="Calibri" w:eastAsiaTheme="majorEastAsia"/>
      <w:sz w:val="22"/>
      <w:szCs w:val="22"/>
      <w:lang w:val="uk-UA" w:eastAsia="en-GB"/>
    </w:rPr>
  </w:style>
  <w:style w:type="paragraph" w:styleId="Tablecaption1" w:customStyle="1">
    <w:name w:val="Table caption"/>
    <w:basedOn w:val="Normal"/>
    <w:link w:val="Tablecaption"/>
    <w:qFormat/>
    <w:rsid w:val="00ad4544"/>
    <w:pPr>
      <w:widowControl w:val="false"/>
      <w:suppressAutoHyphens w:val="false"/>
    </w:pPr>
    <w:rPr>
      <w:rFonts w:ascii="Arial" w:hAnsi="Arial" w:eastAsia="Arial" w:cs="Arial"/>
      <w:b/>
      <w:bCs/>
      <w:color w:val="EBEBEB"/>
      <w:sz w:val="20"/>
      <w:szCs w:val="20"/>
      <w:lang w:val="uk-UA" w:eastAsia="uk-UA"/>
    </w:rPr>
  </w:style>
  <w:style w:type="paragraph" w:styleId="Other1" w:customStyle="1">
    <w:name w:val="Other"/>
    <w:basedOn w:val="Normal"/>
    <w:link w:val="Other"/>
    <w:qFormat/>
    <w:rsid w:val="00ad4544"/>
    <w:pPr>
      <w:widowControl w:val="false"/>
      <w:suppressAutoHyphens w:val="false"/>
      <w:spacing w:before="0" w:after="100"/>
    </w:pPr>
    <w:rPr>
      <w:rFonts w:ascii="Arial" w:hAnsi="Arial" w:eastAsia="Arial" w:cs="Arial"/>
      <w:sz w:val="20"/>
      <w:szCs w:val="20"/>
      <w:lang w:val="uk-UA" w:eastAsia="uk-UA"/>
    </w:rPr>
  </w:style>
  <w:style w:type="paragraph" w:styleId="Style310" w:customStyle="1">
    <w:name w:val="Style3"/>
    <w:basedOn w:val="3"/>
    <w:link w:val="Style3Char"/>
    <w:qFormat/>
    <w:rsid w:val="00ad4544"/>
    <w:pPr>
      <w:suppressAutoHyphens w:val="false"/>
      <w:spacing w:lineRule="auto" w:line="276" w:before="120" w:after="120"/>
      <w:jc w:val="both"/>
    </w:pPr>
    <w:rPr>
      <w:rFonts w:ascii="Arial" w:hAnsi="Arial"/>
      <w:b/>
      <w:smallCaps/>
      <w:color w:val="A6005C"/>
      <w:sz w:val="22"/>
      <w:lang w:val="uk-UA" w:eastAsia="en-US"/>
    </w:rPr>
  </w:style>
  <w:style w:type="paragraph" w:styleId="Standard" w:customStyle="1">
    <w:name w:val="Standard"/>
    <w:qFormat/>
    <w:rsid w:val="00ad4544"/>
    <w:pPr>
      <w:widowControl w:val="false"/>
      <w:suppressAutoHyphens w:val="true"/>
      <w:bidi w:val="0"/>
      <w:jc w:val="left"/>
      <w:textAlignment w:val="baseline"/>
    </w:pPr>
    <w:rPr>
      <w:rFonts w:eastAsia="Lucida Sans Unicode" w:cs="Mangal" w:ascii="Times New Roman" w:hAnsi="Times New Roman"/>
      <w:color w:val="auto"/>
      <w:kern w:val="2"/>
      <w:sz w:val="24"/>
      <w:szCs w:val="24"/>
      <w:lang w:val="ru-RU" w:eastAsia="zh-CN" w:bidi="hi-IN"/>
    </w:rPr>
  </w:style>
  <w:style w:type="paragraph" w:styleId="HTMLPreformatted">
    <w:name w:val="HTML Preformatted"/>
    <w:basedOn w:val="Normal"/>
    <w:link w:val="HTML0"/>
    <w:uiPriority w:val="99"/>
    <w:unhideWhenUsed/>
    <w:qFormat/>
    <w:rsid w:val="00ad4544"/>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uppressAutoHyphens w:val="false"/>
    </w:pPr>
    <w:rPr>
      <w:rFonts w:ascii="Courier New" w:hAnsi="Courier New" w:cs="Courier New"/>
      <w:sz w:val="20"/>
      <w:szCs w:val="20"/>
      <w:lang w:eastAsia="ru-RU"/>
    </w:rPr>
  </w:style>
  <w:style w:type="paragraph" w:styleId="Paragraph" w:customStyle="1">
    <w:name w:val="paragraph"/>
    <w:basedOn w:val="Normal"/>
    <w:qFormat/>
    <w:rsid w:val="00ad4544"/>
    <w:pPr>
      <w:suppressAutoHyphens w:val="false"/>
      <w:spacing w:beforeAutospacing="1" w:afterAutospacing="1"/>
    </w:pPr>
    <w:rPr>
      <w:lang w:eastAsia="ru-RU"/>
    </w:rPr>
  </w:style>
  <w:style w:type="paragraph" w:styleId="Style41" w:customStyle="1">
    <w:name w:val="Абзац"/>
    <w:basedOn w:val="Normal"/>
    <w:qFormat/>
    <w:rsid w:val="00ad4544"/>
    <w:pPr>
      <w:widowControl w:val="false"/>
      <w:suppressAutoHyphens w:val="false"/>
      <w:spacing w:lineRule="auto" w:line="360"/>
      <w:ind w:firstLine="567"/>
      <w:jc w:val="both"/>
    </w:pPr>
    <w:rPr>
      <w:spacing w:val="-10"/>
      <w:sz w:val="28"/>
      <w:szCs w:val="28"/>
      <w:lang w:val="uk-UA" w:eastAsia="ru-RU"/>
    </w:rPr>
  </w:style>
  <w:style w:type="paragraph" w:styleId="Bulllet1" w:customStyle="1">
    <w:name w:val="Bulllet 1"/>
    <w:basedOn w:val="ListParagraph"/>
    <w:qFormat/>
    <w:rsid w:val="00ad4544"/>
    <w:pPr>
      <w:tabs>
        <w:tab w:val="clear" w:pos="708"/>
        <w:tab w:val="left" w:pos="360" w:leader="none"/>
      </w:tabs>
      <w:suppressAutoHyphens w:val="false"/>
      <w:spacing w:lineRule="auto" w:line="276" w:before="120" w:after="120"/>
      <w:ind w:left="1080" w:hanging="0"/>
      <w:contextualSpacing/>
      <w:jc w:val="both"/>
    </w:pPr>
    <w:rPr>
      <w:rFonts w:ascii="Arial" w:hAnsi="Arial" w:cs="Times New Roman"/>
      <w:color w:val="2B343A"/>
      <w:szCs w:val="24"/>
      <w:lang w:val="en-US" w:eastAsia="en-US"/>
    </w:rPr>
  </w:style>
  <w:style w:type="paragraph" w:styleId="Textbody" w:customStyle="1">
    <w:name w:val="Text body"/>
    <w:basedOn w:val="Normal"/>
    <w:qFormat/>
    <w:rsid w:val="00ad4544"/>
    <w:pPr>
      <w:widowControl w:val="false"/>
      <w:textAlignment w:val="baseline"/>
    </w:pPr>
    <w:rPr>
      <w:lang w:val="uk-UA" w:eastAsia="en-US"/>
    </w:rPr>
  </w:style>
  <w:style w:type="paragraph" w:styleId="Whitespacenormal" w:customStyle="1">
    <w:name w:val="whitespace-normal"/>
    <w:basedOn w:val="Normal"/>
    <w:qFormat/>
    <w:rsid w:val="00ad4544"/>
    <w:pPr>
      <w:suppressAutoHyphens w:val="false"/>
      <w:spacing w:beforeAutospacing="1" w:afterAutospacing="1"/>
    </w:pPr>
    <w:rPr>
      <w:lang w:val="en-US" w:eastAsia="ru-RU"/>
    </w:rPr>
  </w:style>
  <w:style w:type="paragraph" w:styleId="Style42" w:customStyle="1">
    <w:name w:val="Style4"/>
    <w:basedOn w:val="3"/>
    <w:link w:val="Style4Char"/>
    <w:qFormat/>
    <w:rsid w:val="00ad4544"/>
    <w:pPr>
      <w:suppressAutoHyphens w:val="false"/>
      <w:snapToGrid w:val="false"/>
      <w:spacing w:before="60" w:after="60"/>
      <w:jc w:val="both"/>
    </w:pPr>
    <w:rPr>
      <w:rFonts w:ascii="Arial" w:hAnsi="Arial" w:cs="Arial"/>
      <w:color w:val="A6005C"/>
      <w:sz w:val="22"/>
      <w:lang w:eastAsia="en-US"/>
    </w:rPr>
  </w:style>
  <w:style w:type="paragraph" w:styleId="Msonormal" w:customStyle="1">
    <w:name w:val="msonormal"/>
    <w:basedOn w:val="Normal"/>
    <w:qFormat/>
    <w:rsid w:val="00ad4544"/>
    <w:pPr>
      <w:suppressAutoHyphens w:val="false"/>
      <w:spacing w:beforeAutospacing="1" w:afterAutospacing="1"/>
    </w:pPr>
    <w:rPr>
      <w:lang w:val="en-GB" w:eastAsia="en-GB"/>
    </w:rPr>
  </w:style>
  <w:style w:type="paragraph" w:styleId="Oa1" w:customStyle="1">
    <w:name w:val="oa1"/>
    <w:basedOn w:val="Normal"/>
    <w:qFormat/>
    <w:rsid w:val="00ad4544"/>
    <w:pPr>
      <w:pBdr>
        <w:bottom w:val="single" w:sz="8" w:space="0" w:color="000000"/>
        <w:right w:val="single" w:sz="8" w:space="0" w:color="000000"/>
      </w:pBdr>
      <w:suppressAutoHyphens w:val="false"/>
      <w:spacing w:beforeAutospacing="1" w:afterAutospacing="1"/>
    </w:pPr>
    <w:rPr>
      <w:lang w:val="en-GB" w:eastAsia="en-GB"/>
    </w:rPr>
  </w:style>
  <w:style w:type="paragraph" w:styleId="Oa2" w:customStyle="1">
    <w:name w:val="oa2"/>
    <w:basedOn w:val="Normal"/>
    <w:qFormat/>
    <w:rsid w:val="00ad4544"/>
    <w:pPr>
      <w:pBdr>
        <w:top w:val="single" w:sz="8" w:space="0" w:color="000000"/>
        <w:left w:val="single" w:sz="8" w:space="0" w:color="000000"/>
        <w:bottom w:val="single" w:sz="4" w:space="0" w:color="000000"/>
        <w:right w:val="single" w:sz="8" w:space="0" w:color="000000"/>
      </w:pBdr>
      <w:suppressAutoHyphens w:val="false"/>
      <w:spacing w:beforeAutospacing="1" w:afterAutospacing="1"/>
      <w:jc w:val="center"/>
      <w:textAlignment w:val="center"/>
    </w:pPr>
    <w:rPr>
      <w:lang w:val="en-GB" w:eastAsia="en-GB"/>
    </w:rPr>
  </w:style>
  <w:style w:type="paragraph" w:styleId="Oa3" w:customStyle="1">
    <w:name w:val="oa3"/>
    <w:basedOn w:val="Normal"/>
    <w:qFormat/>
    <w:rsid w:val="00ad4544"/>
    <w:pPr>
      <w:suppressAutoHyphens w:val="false"/>
      <w:spacing w:beforeAutospacing="1" w:afterAutospacing="1"/>
      <w:textAlignment w:val="top"/>
    </w:pPr>
    <w:rPr>
      <w:lang w:val="en-GB" w:eastAsia="en-GB"/>
    </w:rPr>
  </w:style>
  <w:style w:type="paragraph" w:styleId="Oa4" w:customStyle="1">
    <w:name w:val="oa4"/>
    <w:basedOn w:val="Normal"/>
    <w:qFormat/>
    <w:rsid w:val="00ad4544"/>
    <w:pPr>
      <w:pBdr>
        <w:top w:val="single" w:sz="8" w:space="0" w:color="000000"/>
        <w:left w:val="single" w:sz="8" w:space="0" w:color="000000"/>
        <w:bottom w:val="single" w:sz="4" w:space="0" w:color="000000"/>
        <w:right w:val="single" w:sz="4" w:space="0" w:color="000000"/>
      </w:pBdr>
      <w:shd w:val="clear" w:color="auto" w:fill="D9D9D9"/>
      <w:suppressAutoHyphens w:val="false"/>
      <w:spacing w:beforeAutospacing="1" w:afterAutospacing="1"/>
      <w:jc w:val="center"/>
      <w:textAlignment w:val="center"/>
    </w:pPr>
    <w:rPr>
      <w:lang w:val="en-GB" w:eastAsia="en-GB"/>
    </w:rPr>
  </w:style>
  <w:style w:type="paragraph" w:styleId="Oa5" w:customStyle="1">
    <w:name w:val="oa5"/>
    <w:basedOn w:val="Normal"/>
    <w:qFormat/>
    <w:rsid w:val="00ad4544"/>
    <w:pPr>
      <w:pBdr>
        <w:top w:val="single" w:sz="4" w:space="0" w:color="000000"/>
        <w:left w:val="single" w:sz="4" w:space="0" w:color="000000"/>
        <w:bottom w:val="single" w:sz="4" w:space="0" w:color="000000"/>
        <w:right w:val="single" w:sz="4" w:space="0" w:color="000000"/>
      </w:pBdr>
      <w:shd w:val="clear" w:color="auto" w:fill="D9D9D9"/>
      <w:suppressAutoHyphens w:val="false"/>
      <w:spacing w:beforeAutospacing="1" w:afterAutospacing="1"/>
      <w:jc w:val="center"/>
      <w:textAlignment w:val="center"/>
    </w:pPr>
    <w:rPr>
      <w:lang w:val="en-GB" w:eastAsia="en-GB"/>
    </w:rPr>
  </w:style>
  <w:style w:type="paragraph" w:styleId="Oa6" w:customStyle="1">
    <w:name w:val="oa6"/>
    <w:basedOn w:val="Normal"/>
    <w:qFormat/>
    <w:rsid w:val="00ad4544"/>
    <w:pPr>
      <w:pBdr>
        <w:top w:val="single" w:sz="4" w:space="0" w:color="000000"/>
        <w:left w:val="single" w:sz="4" w:space="0" w:color="000000"/>
        <w:bottom w:val="single" w:sz="4" w:space="0" w:color="000000"/>
        <w:right w:val="single" w:sz="8" w:space="0" w:color="000000"/>
      </w:pBdr>
      <w:shd w:val="clear" w:color="auto" w:fill="660036"/>
      <w:suppressAutoHyphens w:val="false"/>
      <w:spacing w:beforeAutospacing="1" w:afterAutospacing="1"/>
      <w:textAlignment w:val="center"/>
    </w:pPr>
    <w:rPr>
      <w:lang w:val="en-GB" w:eastAsia="en-GB"/>
    </w:rPr>
  </w:style>
  <w:style w:type="paragraph" w:styleId="Oa7" w:customStyle="1">
    <w:name w:val="oa7"/>
    <w:basedOn w:val="Normal"/>
    <w:qFormat/>
    <w:rsid w:val="00ad4544"/>
    <w:pPr>
      <w:pBdr>
        <w:top w:val="single" w:sz="4" w:space="0" w:color="000000"/>
        <w:left w:val="single" w:sz="8" w:space="0" w:color="000000"/>
        <w:bottom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8" w:customStyle="1">
    <w:name w:val="oa8"/>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pPr>
    <w:rPr>
      <w:lang w:val="en-GB" w:eastAsia="en-GB"/>
    </w:rPr>
  </w:style>
  <w:style w:type="paragraph" w:styleId="Oa9" w:customStyle="1">
    <w:name w:val="oa9"/>
    <w:basedOn w:val="Normal"/>
    <w:qFormat/>
    <w:rsid w:val="00ad4544"/>
    <w:pPr>
      <w:pBdr>
        <w:top w:val="single" w:sz="4" w:space="0" w:color="000000"/>
        <w:left w:val="single" w:sz="4" w:space="0" w:color="000000"/>
        <w:bottom w:val="single" w:sz="4" w:space="0" w:color="000000"/>
        <w:right w:val="dotted" w:sz="4" w:space="0" w:color="000000"/>
      </w:pBdr>
      <w:suppressAutoHyphens w:val="false"/>
      <w:spacing w:beforeAutospacing="1" w:afterAutospacing="1"/>
    </w:pPr>
    <w:rPr>
      <w:lang w:val="en-GB" w:eastAsia="en-GB"/>
    </w:rPr>
  </w:style>
  <w:style w:type="paragraph" w:styleId="Oa10" w:customStyle="1">
    <w:name w:val="oa10"/>
    <w:basedOn w:val="Normal"/>
    <w:qFormat/>
    <w:rsid w:val="00ad4544"/>
    <w:pPr>
      <w:pBdr>
        <w:top w:val="single" w:sz="4" w:space="0" w:color="000000"/>
        <w:left w:val="dotted" w:sz="4" w:space="0" w:color="000000"/>
        <w:bottom w:val="single" w:sz="4" w:space="0" w:color="000000"/>
        <w:right w:val="single" w:sz="8" w:space="0" w:color="000000"/>
      </w:pBdr>
      <w:suppressAutoHyphens w:val="false"/>
      <w:spacing w:beforeAutospacing="1" w:afterAutospacing="1"/>
    </w:pPr>
    <w:rPr>
      <w:lang w:val="en-GB" w:eastAsia="en-GB"/>
    </w:rPr>
  </w:style>
  <w:style w:type="paragraph" w:styleId="Oa11" w:customStyle="1">
    <w:name w:val="oa11"/>
    <w:basedOn w:val="Normal"/>
    <w:qFormat/>
    <w:rsid w:val="00ad4544"/>
    <w:pPr>
      <w:pBdr>
        <w:top w:val="single" w:sz="4" w:space="0" w:color="000000"/>
        <w:left w:val="single" w:sz="8" w:space="0" w:color="000000"/>
        <w:bottom w:val="single" w:sz="4" w:space="0" w:color="000000"/>
        <w:right w:val="single" w:sz="4" w:space="0" w:color="000000"/>
      </w:pBdr>
      <w:suppressAutoHyphens w:val="false"/>
      <w:spacing w:beforeAutospacing="1" w:afterAutospacing="1"/>
    </w:pPr>
    <w:rPr>
      <w:lang w:val="en-GB" w:eastAsia="en-GB"/>
    </w:rPr>
  </w:style>
  <w:style w:type="paragraph" w:styleId="Oa12" w:customStyle="1">
    <w:name w:val="oa12"/>
    <w:basedOn w:val="Normal"/>
    <w:qFormat/>
    <w:rsid w:val="00ad4544"/>
    <w:pPr>
      <w:pBdr>
        <w:top w:val="single" w:sz="4" w:space="0" w:color="000000"/>
        <w:left w:val="single" w:sz="4" w:space="0" w:color="000000"/>
        <w:bottom w:val="single" w:sz="4" w:space="0" w:color="000000"/>
        <w:right w:val="single" w:sz="8" w:space="0" w:color="000000"/>
      </w:pBdr>
      <w:suppressAutoHyphens w:val="false"/>
      <w:spacing w:beforeAutospacing="1" w:afterAutospacing="1"/>
    </w:pPr>
    <w:rPr>
      <w:lang w:val="en-GB" w:eastAsia="en-GB"/>
    </w:rPr>
  </w:style>
  <w:style w:type="paragraph" w:styleId="Oa13" w:customStyle="1">
    <w:name w:val="oa13"/>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lang w:val="en-GB" w:eastAsia="en-GB"/>
    </w:rPr>
  </w:style>
  <w:style w:type="paragraph" w:styleId="Oa14" w:customStyle="1">
    <w:name w:val="oa14"/>
    <w:basedOn w:val="Normal"/>
    <w:qFormat/>
    <w:rsid w:val="00ad4544"/>
    <w:pPr>
      <w:pBdr>
        <w:top w:val="single" w:sz="4" w:space="0" w:color="000000"/>
        <w:left w:val="single" w:sz="4" w:space="0" w:color="000000"/>
        <w:bottom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15" w:customStyle="1">
    <w:name w:val="oa15"/>
    <w:basedOn w:val="Normal"/>
    <w:qFormat/>
    <w:rsid w:val="00ad4544"/>
    <w:pPr>
      <w:pBdr>
        <w:top w:val="single" w:sz="4" w:space="0" w:color="000000"/>
        <w:left w:val="single" w:sz="4" w:space="0" w:color="000000"/>
        <w:bottom w:val="single" w:sz="4" w:space="0" w:color="000000"/>
        <w:right w:val="single" w:sz="8" w:space="0" w:color="000000"/>
      </w:pBdr>
      <w:suppressAutoHyphens w:val="false"/>
      <w:spacing w:beforeAutospacing="1" w:afterAutospacing="1"/>
      <w:jc w:val="center"/>
      <w:textAlignment w:val="center"/>
    </w:pPr>
    <w:rPr>
      <w:lang w:val="en-GB" w:eastAsia="en-GB"/>
    </w:rPr>
  </w:style>
  <w:style w:type="paragraph" w:styleId="Oa16" w:customStyle="1">
    <w:name w:val="oa16"/>
    <w:basedOn w:val="Normal"/>
    <w:qFormat/>
    <w:rsid w:val="00ad4544"/>
    <w:pPr>
      <w:pBdr>
        <w:top w:val="single" w:sz="4" w:space="0" w:color="000000"/>
        <w:left w:val="single" w:sz="8" w:space="0" w:color="000000"/>
        <w:bottom w:val="single" w:sz="4" w:space="0" w:color="000000"/>
        <w:right w:val="single" w:sz="4" w:space="0" w:color="000000"/>
      </w:pBdr>
      <w:suppressAutoHyphens w:val="false"/>
      <w:spacing w:beforeAutospacing="1" w:afterAutospacing="1"/>
      <w:jc w:val="center"/>
      <w:textAlignment w:val="center"/>
    </w:pPr>
    <w:rPr>
      <w:lang w:val="en-GB" w:eastAsia="en-GB"/>
    </w:rPr>
  </w:style>
  <w:style w:type="paragraph" w:styleId="Oa17" w:customStyle="1">
    <w:name w:val="oa17"/>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lang w:val="en-GB" w:eastAsia="en-GB"/>
    </w:rPr>
  </w:style>
  <w:style w:type="paragraph" w:styleId="Oa18" w:customStyle="1">
    <w:name w:val="oa18"/>
    <w:basedOn w:val="Normal"/>
    <w:qFormat/>
    <w:rsid w:val="00ad4544"/>
    <w:pPr>
      <w:pBdr>
        <w:top w:val="single" w:sz="4" w:space="0" w:color="000000"/>
        <w:left w:val="single" w:sz="4" w:space="0" w:color="000000"/>
        <w:bottom w:val="single" w:sz="4" w:space="0" w:color="000000"/>
        <w:right w:val="single" w:sz="8" w:space="0" w:color="000000"/>
      </w:pBdr>
      <w:shd w:val="clear" w:color="auto" w:fill="00B050"/>
      <w:suppressAutoHyphens w:val="false"/>
      <w:spacing w:beforeAutospacing="1" w:afterAutospacing="1"/>
    </w:pPr>
    <w:rPr>
      <w:lang w:val="en-GB" w:eastAsia="en-GB"/>
    </w:rPr>
  </w:style>
  <w:style w:type="paragraph" w:styleId="Oa19" w:customStyle="1">
    <w:name w:val="oa19"/>
    <w:basedOn w:val="Normal"/>
    <w:qFormat/>
    <w:rsid w:val="00ad4544"/>
    <w:pPr>
      <w:pBdr>
        <w:top w:val="single" w:sz="4" w:space="0" w:color="000000"/>
        <w:left w:val="single" w:sz="8" w:space="0" w:color="000000"/>
        <w:right w:val="single" w:sz="4" w:space="0" w:color="000000"/>
      </w:pBdr>
      <w:suppressAutoHyphens w:val="false"/>
      <w:spacing w:beforeAutospacing="1" w:afterAutospacing="1"/>
    </w:pPr>
    <w:rPr>
      <w:lang w:val="en-GB" w:eastAsia="en-GB"/>
    </w:rPr>
  </w:style>
  <w:style w:type="paragraph" w:styleId="Oa20" w:customStyle="1">
    <w:name w:val="oa20"/>
    <w:basedOn w:val="Normal"/>
    <w:qFormat/>
    <w:rsid w:val="00ad4544"/>
    <w:pPr>
      <w:pBdr>
        <w:left w:val="single" w:sz="8" w:space="0" w:color="000000"/>
        <w:bottom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21" w:customStyle="1">
    <w:name w:val="oa21"/>
    <w:basedOn w:val="Normal"/>
    <w:qFormat/>
    <w:rsid w:val="00ad4544"/>
    <w:pPr>
      <w:pBdr>
        <w:top w:val="single" w:sz="4" w:space="0" w:color="000000"/>
        <w:left w:val="single" w:sz="8" w:space="0" w:color="000000"/>
        <w:bottom w:val="single" w:sz="4" w:space="0" w:color="000000"/>
      </w:pBdr>
      <w:suppressAutoHyphens w:val="false"/>
      <w:spacing w:beforeAutospacing="1" w:afterAutospacing="1"/>
    </w:pPr>
    <w:rPr>
      <w:lang w:val="en-GB" w:eastAsia="en-GB"/>
    </w:rPr>
  </w:style>
  <w:style w:type="paragraph" w:styleId="Oa22" w:customStyle="1">
    <w:name w:val="oa22"/>
    <w:basedOn w:val="Normal"/>
    <w:qFormat/>
    <w:rsid w:val="00ad4544"/>
    <w:pPr>
      <w:pBdr>
        <w:top w:val="single" w:sz="4" w:space="0" w:color="000000"/>
        <w:bottom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23" w:customStyle="1">
    <w:name w:val="oa23"/>
    <w:basedOn w:val="Normal"/>
    <w:qFormat/>
    <w:rsid w:val="00ad4544"/>
    <w:pPr>
      <w:pBdr>
        <w:top w:val="single" w:sz="4" w:space="0" w:color="000000"/>
        <w:left w:val="single" w:sz="4" w:space="0" w:color="000000"/>
        <w:bottom w:val="single" w:sz="8" w:space="0" w:color="FFFFFF"/>
        <w:right w:val="single" w:sz="8" w:space="0" w:color="000000"/>
      </w:pBdr>
      <w:shd w:val="clear" w:color="auto" w:fill="660036"/>
      <w:suppressAutoHyphens w:val="false"/>
      <w:spacing w:beforeAutospacing="1" w:afterAutospacing="1"/>
      <w:textAlignment w:val="center"/>
    </w:pPr>
    <w:rPr>
      <w:lang w:val="en-GB" w:eastAsia="en-GB"/>
    </w:rPr>
  </w:style>
  <w:style w:type="paragraph" w:styleId="Oa24" w:customStyle="1">
    <w:name w:val="oa24"/>
    <w:basedOn w:val="Normal"/>
    <w:qFormat/>
    <w:rsid w:val="00ad4544"/>
    <w:pPr>
      <w:pBdr>
        <w:top w:val="single" w:sz="8" w:space="0" w:color="FFFFFF"/>
        <w:left w:val="single" w:sz="8" w:space="0" w:color="000000"/>
        <w:bottom w:val="single" w:sz="4" w:space="0" w:color="000000"/>
        <w:right w:val="single" w:sz="8" w:space="0" w:color="000000"/>
      </w:pBdr>
      <w:shd w:val="clear" w:color="auto" w:fill="660036"/>
      <w:suppressAutoHyphens w:val="false"/>
      <w:spacing w:beforeAutospacing="1" w:afterAutospacing="1"/>
      <w:jc w:val="center"/>
      <w:textAlignment w:val="center"/>
    </w:pPr>
    <w:rPr>
      <w:lang w:val="en-GB" w:eastAsia="en-GB"/>
    </w:rPr>
  </w:style>
  <w:style w:type="paragraph" w:styleId="Oa25" w:customStyle="1">
    <w:name w:val="oa25"/>
    <w:basedOn w:val="Normal"/>
    <w:qFormat/>
    <w:rsid w:val="00ad4544"/>
    <w:pPr>
      <w:pBdr>
        <w:top w:val="single" w:sz="4" w:space="0" w:color="000000"/>
        <w:left w:val="single" w:sz="8" w:space="0" w:color="000000"/>
        <w:bottom w:val="single" w:sz="4" w:space="0" w:color="000000"/>
        <w:right w:val="single" w:sz="8" w:space="0" w:color="000000"/>
      </w:pBdr>
      <w:shd w:val="clear" w:color="auto" w:fill="660036"/>
      <w:suppressAutoHyphens w:val="false"/>
      <w:spacing w:beforeAutospacing="1" w:afterAutospacing="1"/>
      <w:textAlignment w:val="center"/>
    </w:pPr>
    <w:rPr>
      <w:lang w:val="en-GB" w:eastAsia="en-GB"/>
    </w:rPr>
  </w:style>
  <w:style w:type="paragraph" w:styleId="Oa26" w:customStyle="1">
    <w:name w:val="oa26"/>
    <w:basedOn w:val="Normal"/>
    <w:qFormat/>
    <w:rsid w:val="00ad4544"/>
    <w:pPr>
      <w:pBdr>
        <w:top w:val="single" w:sz="4" w:space="0" w:color="000000"/>
        <w:left w:val="single" w:sz="8" w:space="0" w:color="000000"/>
        <w:bottom w:val="single" w:sz="4" w:space="0" w:color="000000"/>
        <w:right w:val="single" w:sz="4" w:space="0" w:color="000000"/>
      </w:pBdr>
      <w:suppressAutoHyphens w:val="false"/>
      <w:spacing w:beforeAutospacing="1" w:afterAutospacing="1"/>
      <w:textAlignment w:val="center"/>
    </w:pPr>
    <w:rPr>
      <w:lang w:val="en-GB" w:eastAsia="en-GB"/>
    </w:rPr>
  </w:style>
  <w:style w:type="paragraph" w:styleId="Oa27" w:customStyle="1">
    <w:name w:val="oa27"/>
    <w:basedOn w:val="Normal"/>
    <w:qFormat/>
    <w:rsid w:val="00ad4544"/>
    <w:pPr>
      <w:pBdr>
        <w:top w:val="single" w:sz="4" w:space="0" w:color="000000"/>
        <w:left w:val="single" w:sz="4" w:space="0" w:color="000000"/>
        <w:bottom w:val="single" w:sz="4" w:space="0" w:color="000000"/>
        <w:right w:val="single" w:sz="8" w:space="0" w:color="000000"/>
      </w:pBdr>
      <w:suppressAutoHyphens w:val="false"/>
      <w:spacing w:beforeAutospacing="1" w:afterAutospacing="1"/>
      <w:textAlignment w:val="center"/>
    </w:pPr>
    <w:rPr>
      <w:lang w:val="en-GB" w:eastAsia="en-GB"/>
    </w:rPr>
  </w:style>
  <w:style w:type="paragraph" w:styleId="Oa28" w:customStyle="1">
    <w:name w:val="oa28"/>
    <w:basedOn w:val="Normal"/>
    <w:qFormat/>
    <w:rsid w:val="00ad4544"/>
    <w:pPr>
      <w:pBdr>
        <w:top w:val="single" w:sz="4" w:space="0" w:color="000000"/>
        <w:left w:val="single" w:sz="8" w:space="0" w:color="000000"/>
        <w:right w:val="single" w:sz="4" w:space="0" w:color="000000"/>
      </w:pBdr>
      <w:shd w:val="clear" w:color="auto" w:fill="00B050"/>
      <w:suppressAutoHyphens w:val="false"/>
      <w:spacing w:beforeAutospacing="1" w:afterAutospacing="1"/>
    </w:pPr>
    <w:rPr>
      <w:lang w:val="en-GB" w:eastAsia="en-GB"/>
    </w:rPr>
  </w:style>
  <w:style w:type="paragraph" w:styleId="Oa29" w:customStyle="1">
    <w:name w:val="oa29"/>
    <w:basedOn w:val="Normal"/>
    <w:qFormat/>
    <w:rsid w:val="00ad4544"/>
    <w:pPr>
      <w:pBdr>
        <w:top w:val="single" w:sz="4" w:space="0" w:color="000000"/>
        <w:left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30" w:customStyle="1">
    <w:name w:val="oa30"/>
    <w:basedOn w:val="Normal"/>
    <w:qFormat/>
    <w:rsid w:val="00ad4544"/>
    <w:pPr>
      <w:pBdr>
        <w:top w:val="single" w:sz="4" w:space="0" w:color="000000"/>
        <w:left w:val="single" w:sz="8" w:space="2" w:color="000000"/>
        <w:bottom w:val="single" w:sz="8" w:space="0" w:color="FFFFFF"/>
        <w:right w:val="single" w:sz="8" w:space="0" w:color="000000"/>
      </w:pBdr>
      <w:shd w:val="clear" w:color="auto" w:fill="660036"/>
      <w:suppressAutoHyphens w:val="false"/>
      <w:spacing w:beforeAutospacing="1" w:afterAutospacing="1"/>
      <w:textAlignment w:val="center"/>
    </w:pPr>
    <w:rPr>
      <w:lang w:val="en-GB" w:eastAsia="en-GB"/>
    </w:rPr>
  </w:style>
  <w:style w:type="paragraph" w:styleId="Oa31" w:customStyle="1">
    <w:name w:val="oa31"/>
    <w:basedOn w:val="Normal"/>
    <w:qFormat/>
    <w:rsid w:val="00ad4544"/>
    <w:pPr>
      <w:pBdr>
        <w:left w:val="single" w:sz="4" w:space="0" w:color="000000"/>
        <w:bottom w:val="single" w:sz="4" w:space="0" w:color="000000"/>
        <w:right w:val="single" w:sz="4" w:space="0" w:color="000000"/>
      </w:pBdr>
      <w:shd w:val="clear" w:color="auto" w:fill="00B050"/>
      <w:suppressAutoHyphens w:val="false"/>
      <w:spacing w:beforeAutospacing="1" w:afterAutospacing="1"/>
    </w:pPr>
    <w:rPr>
      <w:lang w:val="en-GB" w:eastAsia="en-GB"/>
    </w:rPr>
  </w:style>
  <w:style w:type="paragraph" w:styleId="Oa32" w:customStyle="1">
    <w:name w:val="oa32"/>
    <w:basedOn w:val="Normal"/>
    <w:qFormat/>
    <w:rsid w:val="00ad4544"/>
    <w:pPr>
      <w:pBdr>
        <w:top w:val="single" w:sz="8" w:space="0" w:color="FFFFFF"/>
        <w:left w:val="single" w:sz="4" w:space="0" w:color="000000"/>
        <w:bottom w:val="single" w:sz="4" w:space="0" w:color="000000"/>
        <w:right w:val="single" w:sz="8" w:space="0" w:color="000000"/>
      </w:pBdr>
      <w:shd w:val="clear" w:color="auto" w:fill="660036"/>
      <w:suppressAutoHyphens w:val="false"/>
      <w:spacing w:beforeAutospacing="1" w:afterAutospacing="1"/>
      <w:jc w:val="center"/>
      <w:textAlignment w:val="center"/>
    </w:pPr>
    <w:rPr>
      <w:lang w:val="en-GB" w:eastAsia="en-GB"/>
    </w:rPr>
  </w:style>
  <w:style w:type="paragraph" w:styleId="Oa33" w:customStyle="1">
    <w:name w:val="oa33"/>
    <w:basedOn w:val="Normal"/>
    <w:qFormat/>
    <w:rsid w:val="00ad4544"/>
    <w:pPr>
      <w:pBdr>
        <w:top w:val="single" w:sz="4" w:space="0" w:color="000000"/>
        <w:left w:val="single" w:sz="4" w:space="0" w:color="000000"/>
        <w:bottom w:val="single" w:sz="4" w:space="0" w:color="000000"/>
        <w:right w:val="single" w:sz="8" w:space="0" w:color="000000"/>
      </w:pBdr>
      <w:shd w:val="clear" w:color="auto" w:fill="660036"/>
      <w:suppressAutoHyphens w:val="false"/>
      <w:spacing w:beforeAutospacing="1" w:afterAutospacing="1"/>
      <w:textAlignment w:val="top"/>
    </w:pPr>
    <w:rPr>
      <w:lang w:val="en-GB" w:eastAsia="en-GB"/>
    </w:rPr>
  </w:style>
  <w:style w:type="paragraph" w:styleId="Oa34" w:customStyle="1">
    <w:name w:val="oa34"/>
    <w:basedOn w:val="Normal"/>
    <w:qFormat/>
    <w:rsid w:val="00ad4544"/>
    <w:pPr>
      <w:pBdr>
        <w:top w:val="single" w:sz="4" w:space="0" w:color="000000"/>
        <w:left w:val="single" w:sz="8" w:space="0" w:color="000000"/>
        <w:bottom w:val="single" w:sz="4" w:space="0" w:color="000000"/>
        <w:right w:val="single" w:sz="8" w:space="0" w:color="000000"/>
      </w:pBdr>
      <w:shd w:val="clear" w:color="auto" w:fill="00B050"/>
      <w:suppressAutoHyphens w:val="false"/>
      <w:spacing w:beforeAutospacing="1" w:afterAutospacing="1"/>
    </w:pPr>
    <w:rPr>
      <w:lang w:val="en-GB" w:eastAsia="en-GB"/>
    </w:rPr>
  </w:style>
  <w:style w:type="paragraph" w:styleId="Oa35" w:customStyle="1">
    <w:name w:val="oa35"/>
    <w:basedOn w:val="Normal"/>
    <w:qFormat/>
    <w:rsid w:val="00ad4544"/>
    <w:pPr>
      <w:pBdr>
        <w:top w:val="single" w:sz="4" w:space="0" w:color="000000"/>
        <w:left w:val="single" w:sz="8" w:space="0" w:color="000000"/>
        <w:bottom w:val="single" w:sz="4" w:space="0" w:color="000000"/>
      </w:pBdr>
      <w:suppressAutoHyphens w:val="false"/>
      <w:spacing w:beforeAutospacing="1" w:afterAutospacing="1"/>
      <w:textAlignment w:val="center"/>
    </w:pPr>
    <w:rPr>
      <w:lang w:val="en-GB" w:eastAsia="en-GB"/>
    </w:rPr>
  </w:style>
  <w:style w:type="paragraph" w:styleId="Xl64" w:customStyle="1">
    <w:name w:val="xl64"/>
    <w:basedOn w:val="Normal"/>
    <w:qFormat/>
    <w:rsid w:val="00ad4544"/>
    <w:pPr>
      <w:pBdr>
        <w:top w:val="single" w:sz="4" w:space="0" w:color="404040"/>
        <w:bottom w:val="single" w:sz="4" w:space="0" w:color="404040"/>
        <w:right w:val="single" w:sz="4" w:space="0" w:color="404040"/>
      </w:pBdr>
      <w:suppressAutoHyphens w:val="false"/>
      <w:spacing w:beforeAutospacing="1" w:afterAutospacing="1"/>
      <w:textAlignment w:val="center"/>
    </w:pPr>
    <w:rPr>
      <w:rFonts w:ascii="Arial" w:hAnsi="Arial" w:cs="Arial"/>
      <w:sz w:val="20"/>
      <w:szCs w:val="20"/>
      <w:lang w:val="en-GB" w:eastAsia="en-GB"/>
    </w:rPr>
  </w:style>
  <w:style w:type="paragraph" w:styleId="Xl65" w:customStyle="1">
    <w:name w:val="xl65"/>
    <w:basedOn w:val="Normal"/>
    <w:qFormat/>
    <w:rsid w:val="00ad4544"/>
    <w:pPr>
      <w:pBdr>
        <w:right w:val="single" w:sz="4" w:space="0" w:color="404040"/>
      </w:pBdr>
      <w:suppressAutoHyphens w:val="false"/>
      <w:spacing w:beforeAutospacing="1" w:afterAutospacing="1"/>
      <w:jc w:val="center"/>
    </w:pPr>
    <w:rPr>
      <w:rFonts w:ascii="Arial" w:hAnsi="Arial" w:cs="Arial"/>
      <w:sz w:val="14"/>
      <w:szCs w:val="14"/>
      <w:lang w:val="en-GB" w:eastAsia="en-GB"/>
    </w:rPr>
  </w:style>
  <w:style w:type="paragraph" w:styleId="Xl66" w:customStyle="1">
    <w:name w:val="xl66"/>
    <w:basedOn w:val="Normal"/>
    <w:qFormat/>
    <w:rsid w:val="00ad4544"/>
    <w:pPr>
      <w:pBdr>
        <w:top w:val="single" w:sz="4" w:space="0" w:color="000000"/>
      </w:pBdr>
      <w:shd w:val="clear" w:color="FFFFFF" w:fill="A6005C"/>
      <w:suppressAutoHyphens w:val="false"/>
      <w:spacing w:beforeAutospacing="1" w:afterAutospacing="1"/>
      <w:jc w:val="center"/>
      <w:textAlignment w:val="center"/>
    </w:pPr>
    <w:rPr>
      <w:rFonts w:ascii="Algerian" w:hAnsi="Algerian"/>
      <w:b/>
      <w:bCs/>
      <w:color w:val="FFFFFF"/>
      <w:sz w:val="20"/>
      <w:szCs w:val="20"/>
      <w:lang w:val="en-GB" w:eastAsia="en-GB"/>
    </w:rPr>
  </w:style>
  <w:style w:type="paragraph" w:styleId="Xl67" w:customStyle="1">
    <w:name w:val="xl67"/>
    <w:basedOn w:val="Normal"/>
    <w:qFormat/>
    <w:rsid w:val="00ad4544"/>
    <w:pPr>
      <w:pBdr>
        <w:bottom w:val="single" w:sz="4" w:space="0" w:color="000000"/>
      </w:pBdr>
      <w:suppressAutoHyphens w:val="false"/>
      <w:spacing w:beforeAutospacing="1" w:afterAutospacing="1"/>
      <w:jc w:val="right"/>
    </w:pPr>
    <w:rPr>
      <w:rFonts w:ascii="Arial" w:hAnsi="Arial" w:cs="Arial"/>
      <w:b/>
      <w:bCs/>
      <w:color w:val="A6005C"/>
      <w:sz w:val="28"/>
      <w:szCs w:val="28"/>
      <w:lang w:val="en-GB" w:eastAsia="en-GB"/>
    </w:rPr>
  </w:style>
  <w:style w:type="paragraph" w:styleId="Xl68" w:customStyle="1">
    <w:name w:val="xl68"/>
    <w:basedOn w:val="Normal"/>
    <w:qFormat/>
    <w:rsid w:val="00ad4544"/>
    <w:pPr>
      <w:pBdr>
        <w:bottom w:val="single" w:sz="4" w:space="0" w:color="000000"/>
      </w:pBdr>
      <w:shd w:val="clear" w:color="000000" w:fill="FFFFFF"/>
      <w:suppressAutoHyphens w:val="false"/>
      <w:spacing w:beforeAutospacing="1" w:afterAutospacing="1"/>
      <w:textAlignment w:val="center"/>
    </w:pPr>
    <w:rPr>
      <w:rFonts w:ascii="Arial" w:hAnsi="Arial" w:cs="Arial"/>
      <w:sz w:val="20"/>
      <w:szCs w:val="20"/>
      <w:lang w:val="en-GB" w:eastAsia="en-GB"/>
    </w:rPr>
  </w:style>
  <w:style w:type="paragraph" w:styleId="Xl69" w:customStyle="1">
    <w:name w:val="xl69"/>
    <w:basedOn w:val="Normal"/>
    <w:qFormat/>
    <w:rsid w:val="00ad4544"/>
    <w:pPr>
      <w:pBdr>
        <w:bottom w:val="single" w:sz="4" w:space="0" w:color="000000"/>
      </w:pBdr>
      <w:shd w:val="clear" w:color="FFFFFF" w:fill="A6005C"/>
      <w:suppressAutoHyphens w:val="false"/>
      <w:spacing w:beforeAutospacing="1" w:afterAutospacing="1"/>
      <w:jc w:val="center"/>
    </w:pPr>
    <w:rPr>
      <w:rFonts w:ascii="Algerian" w:hAnsi="Algerian"/>
      <w:b/>
      <w:bCs/>
      <w:color w:val="FFFFFF"/>
      <w:sz w:val="20"/>
      <w:szCs w:val="20"/>
      <w:lang w:val="en-GB" w:eastAsia="en-GB"/>
    </w:rPr>
  </w:style>
  <w:style w:type="paragraph" w:styleId="Xl70" w:customStyle="1">
    <w:name w:val="xl70"/>
    <w:basedOn w:val="Normal"/>
    <w:qFormat/>
    <w:rsid w:val="00ad4544"/>
    <w:pPr>
      <w:pBdr>
        <w:right w:val="single" w:sz="8" w:space="0" w:color="000000"/>
      </w:pBdr>
      <w:suppressAutoHyphens w:val="false"/>
      <w:spacing w:beforeAutospacing="1" w:afterAutospacing="1"/>
      <w:jc w:val="center"/>
    </w:pPr>
    <w:rPr>
      <w:rFonts w:ascii="Arial" w:hAnsi="Arial" w:cs="Arial"/>
      <w:sz w:val="14"/>
      <w:szCs w:val="14"/>
      <w:lang w:val="en-GB" w:eastAsia="en-GB"/>
    </w:rPr>
  </w:style>
  <w:style w:type="paragraph" w:styleId="Xl71" w:customStyle="1">
    <w:name w:val="xl71"/>
    <w:basedOn w:val="Normal"/>
    <w:qFormat/>
    <w:rsid w:val="00ad4544"/>
    <w:pPr>
      <w:pBdr>
        <w:top w:val="single" w:sz="4" w:space="0" w:color="404040"/>
        <w:bottom w:val="single" w:sz="4" w:space="0" w:color="404040"/>
        <w:right w:val="single" w:sz="8" w:space="0" w:color="000000"/>
      </w:pBdr>
      <w:suppressAutoHyphens w:val="false"/>
      <w:spacing w:beforeAutospacing="1" w:afterAutospacing="1"/>
      <w:textAlignment w:val="center"/>
    </w:pPr>
    <w:rPr>
      <w:rFonts w:ascii="Arial" w:hAnsi="Arial" w:cs="Arial"/>
      <w:sz w:val="20"/>
      <w:szCs w:val="20"/>
      <w:lang w:val="en-GB" w:eastAsia="en-GB"/>
    </w:rPr>
  </w:style>
  <w:style w:type="paragraph" w:styleId="Xl72" w:customStyle="1">
    <w:name w:val="xl72"/>
    <w:basedOn w:val="Normal"/>
    <w:qFormat/>
    <w:rsid w:val="00ad4544"/>
    <w:pPr>
      <w:pBdr>
        <w:bottom w:val="single" w:sz="4" w:space="0" w:color="000000"/>
      </w:pBdr>
      <w:shd w:val="clear" w:color="FFFFFF" w:fill="FFFFFF"/>
      <w:suppressAutoHyphens w:val="false"/>
      <w:spacing w:beforeAutospacing="1" w:afterAutospacing="1"/>
    </w:pPr>
    <w:rPr>
      <w:rFonts w:ascii="Arial" w:hAnsi="Arial" w:cs="Arial"/>
      <w:color w:val="262626"/>
      <w:lang w:val="en-GB" w:eastAsia="en-GB"/>
    </w:rPr>
  </w:style>
  <w:style w:type="paragraph" w:styleId="Xl73" w:customStyle="1">
    <w:name w:val="xl73"/>
    <w:basedOn w:val="Normal"/>
    <w:qFormat/>
    <w:rsid w:val="00ad4544"/>
    <w:pPr>
      <w:pBdr>
        <w:top w:val="single" w:sz="4" w:space="0" w:color="404040"/>
        <w:left w:val="single" w:sz="8" w:space="0" w:color="000000"/>
        <w:bottom w:val="single" w:sz="4" w:space="0" w:color="404040"/>
        <w:right w:val="single" w:sz="4" w:space="0" w:color="404040"/>
      </w:pBdr>
      <w:suppressAutoHyphens w:val="false"/>
      <w:spacing w:beforeAutospacing="1" w:afterAutospacing="1"/>
      <w:textAlignment w:val="center"/>
    </w:pPr>
    <w:rPr>
      <w:rFonts w:ascii="Arial" w:hAnsi="Arial" w:cs="Arial"/>
      <w:sz w:val="20"/>
      <w:szCs w:val="20"/>
      <w:lang w:val="en-GB" w:eastAsia="en-GB"/>
    </w:rPr>
  </w:style>
  <w:style w:type="paragraph" w:styleId="Xl74" w:customStyle="1">
    <w:name w:val="xl74"/>
    <w:basedOn w:val="Normal"/>
    <w:qFormat/>
    <w:rsid w:val="00ad4544"/>
    <w:pPr>
      <w:pBdr>
        <w:top w:val="single" w:sz="4" w:space="0" w:color="404040"/>
        <w:bottom w:val="single" w:sz="4" w:space="0" w:color="404040"/>
        <w:right w:val="single" w:sz="4" w:space="0" w:color="404040"/>
      </w:pBdr>
      <w:shd w:val="clear" w:color="000000" w:fill="A6005C"/>
      <w:suppressAutoHyphens w:val="false"/>
      <w:spacing w:beforeAutospacing="1" w:afterAutospacing="1"/>
      <w:textAlignment w:val="center"/>
    </w:pPr>
    <w:rPr>
      <w:rFonts w:ascii="Arial" w:hAnsi="Arial" w:cs="Arial"/>
      <w:sz w:val="20"/>
      <w:szCs w:val="20"/>
      <w:lang w:val="en-GB" w:eastAsia="en-GB"/>
    </w:rPr>
  </w:style>
  <w:style w:type="paragraph" w:styleId="Xl75" w:customStyle="1">
    <w:name w:val="xl75"/>
    <w:basedOn w:val="Normal"/>
    <w:qFormat/>
    <w:rsid w:val="00ad4544"/>
    <w:pPr>
      <w:pBdr>
        <w:right w:val="single" w:sz="8" w:space="0" w:color="000000"/>
      </w:pBdr>
      <w:suppressAutoHyphens w:val="false"/>
      <w:spacing w:beforeAutospacing="1" w:afterAutospacing="1"/>
    </w:pPr>
    <w:rPr>
      <w:lang w:val="en-GB" w:eastAsia="en-GB"/>
    </w:rPr>
  </w:style>
  <w:style w:type="paragraph" w:styleId="Xl76" w:customStyle="1">
    <w:name w:val="xl76"/>
    <w:basedOn w:val="Normal"/>
    <w:qFormat/>
    <w:rsid w:val="00ad4544"/>
    <w:pPr>
      <w:pBdr>
        <w:top w:val="single" w:sz="4" w:space="0" w:color="000000"/>
        <w:right w:val="single" w:sz="8" w:space="0" w:color="000000"/>
      </w:pBdr>
      <w:shd w:val="clear" w:color="FFFFFF" w:fill="A6005C"/>
      <w:suppressAutoHyphens w:val="false"/>
      <w:spacing w:beforeAutospacing="1" w:afterAutospacing="1"/>
      <w:jc w:val="center"/>
      <w:textAlignment w:val="center"/>
    </w:pPr>
    <w:rPr>
      <w:rFonts w:ascii="Algerian" w:hAnsi="Algerian"/>
      <w:b/>
      <w:bCs/>
      <w:color w:val="FFFFFF"/>
      <w:sz w:val="20"/>
      <w:szCs w:val="20"/>
      <w:lang w:val="en-GB" w:eastAsia="en-GB"/>
    </w:rPr>
  </w:style>
  <w:style w:type="paragraph" w:styleId="Xl77" w:customStyle="1">
    <w:name w:val="xl77"/>
    <w:basedOn w:val="Normal"/>
    <w:qFormat/>
    <w:rsid w:val="00ad4544"/>
    <w:pPr>
      <w:suppressAutoHyphens w:val="false"/>
      <w:spacing w:beforeAutospacing="1" w:afterAutospacing="1"/>
      <w:jc w:val="center"/>
    </w:pPr>
    <w:rPr>
      <w:rFonts w:ascii="Arial" w:hAnsi="Arial" w:cs="Arial"/>
      <w:sz w:val="14"/>
      <w:szCs w:val="14"/>
      <w:lang w:val="en-GB" w:eastAsia="en-GB"/>
    </w:rPr>
  </w:style>
  <w:style w:type="paragraph" w:styleId="Xl78" w:customStyle="1">
    <w:name w:val="xl78"/>
    <w:basedOn w:val="Normal"/>
    <w:qFormat/>
    <w:rsid w:val="00ad4544"/>
    <w:pPr>
      <w:pBdr>
        <w:top w:val="single" w:sz="4" w:space="0" w:color="404040"/>
        <w:bottom w:val="single" w:sz="4" w:space="0" w:color="404040"/>
      </w:pBdr>
      <w:suppressAutoHyphens w:val="false"/>
      <w:spacing w:beforeAutospacing="1" w:afterAutospacing="1"/>
      <w:textAlignment w:val="center"/>
    </w:pPr>
    <w:rPr>
      <w:rFonts w:ascii="Arial" w:hAnsi="Arial" w:cs="Arial"/>
      <w:sz w:val="20"/>
      <w:szCs w:val="20"/>
      <w:lang w:val="en-GB" w:eastAsia="en-GB"/>
    </w:rPr>
  </w:style>
  <w:style w:type="paragraph" w:styleId="Xl79" w:customStyle="1">
    <w:name w:val="xl79"/>
    <w:basedOn w:val="Normal"/>
    <w:qFormat/>
    <w:rsid w:val="00ad4544"/>
    <w:pPr>
      <w:pBdr>
        <w:left w:val="single" w:sz="8" w:space="0" w:color="000000"/>
        <w:right w:val="single" w:sz="4" w:space="0" w:color="404040"/>
      </w:pBdr>
      <w:suppressAutoHyphens w:val="false"/>
      <w:spacing w:beforeAutospacing="1" w:afterAutospacing="1"/>
      <w:jc w:val="center"/>
    </w:pPr>
    <w:rPr>
      <w:rFonts w:ascii="Arial" w:hAnsi="Arial" w:cs="Arial"/>
      <w:sz w:val="14"/>
      <w:szCs w:val="14"/>
      <w:lang w:val="en-GB" w:eastAsia="en-GB"/>
    </w:rPr>
  </w:style>
  <w:style w:type="paragraph" w:styleId="Xl80" w:customStyle="1">
    <w:name w:val="xl80"/>
    <w:basedOn w:val="Normal"/>
    <w:qFormat/>
    <w:rsid w:val="00ad4544"/>
    <w:pPr>
      <w:pBdr>
        <w:top w:val="single" w:sz="4" w:space="0" w:color="000000"/>
        <w:left w:val="single" w:sz="8" w:space="0" w:color="000000"/>
      </w:pBdr>
      <w:shd w:val="clear" w:color="FFFFFF" w:fill="A6005C"/>
      <w:suppressAutoHyphens w:val="false"/>
      <w:spacing w:beforeAutospacing="1" w:afterAutospacing="1"/>
      <w:jc w:val="center"/>
      <w:textAlignment w:val="center"/>
    </w:pPr>
    <w:rPr>
      <w:rFonts w:ascii="Algerian" w:hAnsi="Algerian"/>
      <w:b/>
      <w:bCs/>
      <w:color w:val="FFFFFF"/>
      <w:sz w:val="20"/>
      <w:szCs w:val="20"/>
      <w:lang w:val="en-GB" w:eastAsia="en-GB"/>
    </w:rPr>
  </w:style>
  <w:style w:type="paragraph" w:styleId="Xl81" w:customStyle="1">
    <w:name w:val="xl81"/>
    <w:basedOn w:val="Normal"/>
    <w:qFormat/>
    <w:rsid w:val="00ad4544"/>
    <w:pPr>
      <w:pBdr>
        <w:top w:val="single" w:sz="4" w:space="0" w:color="404040"/>
        <w:bottom w:val="single" w:sz="4" w:space="0" w:color="404040"/>
        <w:right w:val="single" w:sz="8" w:space="0" w:color="000000"/>
      </w:pBdr>
      <w:shd w:val="clear" w:color="000000" w:fill="A6005C"/>
      <w:suppressAutoHyphens w:val="false"/>
      <w:spacing w:beforeAutospacing="1" w:afterAutospacing="1"/>
      <w:textAlignment w:val="center"/>
    </w:pPr>
    <w:rPr>
      <w:rFonts w:ascii="Arial" w:hAnsi="Arial" w:cs="Arial"/>
      <w:sz w:val="20"/>
      <w:szCs w:val="20"/>
      <w:lang w:val="en-GB" w:eastAsia="en-GB"/>
    </w:rPr>
  </w:style>
  <w:style w:type="paragraph" w:styleId="Xl82" w:customStyle="1">
    <w:name w:val="xl82"/>
    <w:basedOn w:val="Normal"/>
    <w:qFormat/>
    <w:rsid w:val="00ad4544"/>
    <w:pPr>
      <w:pBdr>
        <w:top w:val="single" w:sz="4" w:space="0" w:color="404040"/>
        <w:bottom w:val="single" w:sz="4" w:space="0" w:color="404040"/>
        <w:right w:val="single" w:sz="4" w:space="0" w:color="404040"/>
      </w:pBdr>
      <w:shd w:val="clear" w:color="000000" w:fill="A6005C"/>
      <w:suppressAutoHyphens w:val="false"/>
      <w:spacing w:beforeAutospacing="1" w:afterAutospacing="1"/>
      <w:textAlignment w:val="center"/>
    </w:pPr>
    <w:rPr>
      <w:rFonts w:ascii="Arial" w:hAnsi="Arial" w:cs="Arial"/>
      <w:color w:val="FFFFFF"/>
      <w:sz w:val="20"/>
      <w:szCs w:val="20"/>
      <w:lang w:val="en-GB" w:eastAsia="en-GB"/>
    </w:rPr>
  </w:style>
  <w:style w:type="paragraph" w:styleId="Xl83" w:customStyle="1">
    <w:name w:val="xl83"/>
    <w:basedOn w:val="Normal"/>
    <w:qFormat/>
    <w:rsid w:val="00ad4544"/>
    <w:pPr>
      <w:pBdr>
        <w:top w:val="single" w:sz="4" w:space="0" w:color="404040"/>
        <w:bottom w:val="single" w:sz="4" w:space="0" w:color="404040"/>
        <w:right w:val="single" w:sz="4" w:space="0" w:color="404040"/>
      </w:pBdr>
      <w:suppressAutoHyphens w:val="false"/>
      <w:spacing w:beforeAutospacing="1" w:afterAutospacing="1"/>
      <w:textAlignment w:val="center"/>
    </w:pPr>
    <w:rPr>
      <w:rFonts w:ascii="Arial" w:hAnsi="Arial" w:cs="Arial"/>
      <w:color w:val="FFFFFF"/>
      <w:sz w:val="20"/>
      <w:szCs w:val="20"/>
      <w:lang w:val="en-GB" w:eastAsia="en-GB"/>
    </w:rPr>
  </w:style>
  <w:style w:type="paragraph" w:styleId="Xl84" w:customStyle="1">
    <w:name w:val="xl84"/>
    <w:basedOn w:val="Normal"/>
    <w:qFormat/>
    <w:rsid w:val="00ad4544"/>
    <w:pPr>
      <w:shd w:val="clear" w:color="000000" w:fill="A6005C"/>
      <w:suppressAutoHyphens w:val="false"/>
      <w:spacing w:beforeAutospacing="1" w:afterAutospacing="1"/>
    </w:pPr>
    <w:rPr>
      <w:color w:val="FFFFFF"/>
      <w:lang w:val="en-GB" w:eastAsia="en-GB"/>
    </w:rPr>
  </w:style>
  <w:style w:type="paragraph" w:styleId="Xl85" w:customStyle="1">
    <w:name w:val="xl85"/>
    <w:basedOn w:val="Normal"/>
    <w:qFormat/>
    <w:rsid w:val="00ad4544"/>
    <w:pPr>
      <w:pBdr>
        <w:top w:val="single" w:sz="4" w:space="0" w:color="000000"/>
      </w:pBdr>
      <w:suppressAutoHyphens w:val="false"/>
      <w:spacing w:beforeAutospacing="1" w:afterAutospacing="1"/>
      <w:jc w:val="center"/>
      <w:textAlignment w:val="center"/>
    </w:pPr>
    <w:rPr>
      <w:rFonts w:ascii="Algerian" w:hAnsi="Algerian"/>
      <w:b/>
      <w:bCs/>
      <w:color w:val="FFFFFF"/>
      <w:sz w:val="20"/>
      <w:szCs w:val="20"/>
      <w:lang w:val="en-GB" w:eastAsia="en-GB"/>
    </w:rPr>
  </w:style>
  <w:style w:type="paragraph" w:styleId="Xl86" w:customStyle="1">
    <w:name w:val="xl86"/>
    <w:basedOn w:val="Normal"/>
    <w:qFormat/>
    <w:rsid w:val="00ad4544"/>
    <w:pPr>
      <w:pBdr>
        <w:top w:val="single" w:sz="4" w:space="0" w:color="000000"/>
        <w:right w:val="single" w:sz="8" w:space="0" w:color="000000"/>
      </w:pBdr>
      <w:suppressAutoHyphens w:val="false"/>
      <w:spacing w:beforeAutospacing="1" w:afterAutospacing="1"/>
      <w:jc w:val="center"/>
      <w:textAlignment w:val="center"/>
    </w:pPr>
    <w:rPr>
      <w:rFonts w:ascii="Algerian" w:hAnsi="Algerian"/>
      <w:b/>
      <w:bCs/>
      <w:color w:val="FFFFFF"/>
      <w:sz w:val="20"/>
      <w:szCs w:val="20"/>
      <w:lang w:val="en-GB" w:eastAsia="en-GB"/>
    </w:rPr>
  </w:style>
  <w:style w:type="paragraph" w:styleId="Xl87" w:customStyle="1">
    <w:name w:val="xl87"/>
    <w:basedOn w:val="Normal"/>
    <w:qFormat/>
    <w:rsid w:val="00ad4544"/>
    <w:pPr>
      <w:pBdr>
        <w:left w:val="single" w:sz="8" w:space="0" w:color="000000"/>
        <w:right w:val="single" w:sz="4" w:space="0" w:color="262626"/>
      </w:pBdr>
      <w:suppressAutoHyphens w:val="false"/>
      <w:spacing w:beforeAutospacing="1" w:afterAutospacing="1"/>
    </w:pPr>
    <w:rPr>
      <w:rFonts w:ascii="Arial" w:hAnsi="Arial" w:cs="Arial"/>
      <w:b/>
      <w:bCs/>
      <w:color w:val="A6005C"/>
      <w:sz w:val="28"/>
      <w:szCs w:val="28"/>
      <w:lang w:val="en-GB" w:eastAsia="en-GB"/>
    </w:rPr>
  </w:style>
  <w:style w:type="paragraph" w:styleId="Xl88" w:customStyle="1">
    <w:name w:val="xl88"/>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pPr>
    <w:rPr>
      <w:rFonts w:ascii="Arial" w:hAnsi="Arial" w:cs="Arial"/>
      <w:b/>
      <w:bCs/>
      <w:color w:val="A6005C"/>
      <w:sz w:val="28"/>
      <w:szCs w:val="28"/>
      <w:lang w:val="en-GB" w:eastAsia="en-GB"/>
    </w:rPr>
  </w:style>
  <w:style w:type="paragraph" w:styleId="Xl89" w:customStyle="1">
    <w:name w:val="xl89"/>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b/>
      <w:bCs/>
      <w:color w:val="A6005C"/>
      <w:sz w:val="28"/>
      <w:szCs w:val="28"/>
      <w:lang w:val="en-GB" w:eastAsia="en-GB"/>
    </w:rPr>
  </w:style>
  <w:style w:type="paragraph" w:styleId="Xl90" w:customStyle="1">
    <w:name w:val="xl90"/>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pPr>
    <w:rPr>
      <w:rFonts w:ascii="Arial" w:hAnsi="Arial" w:cs="Arial"/>
      <w:b/>
      <w:bCs/>
      <w:color w:val="A6005C"/>
      <w:sz w:val="28"/>
      <w:szCs w:val="28"/>
      <w:lang w:val="en-GB" w:eastAsia="en-GB"/>
    </w:rPr>
  </w:style>
  <w:style w:type="paragraph" w:styleId="Xl91" w:customStyle="1">
    <w:name w:val="xl91"/>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b/>
      <w:bCs/>
      <w:color w:val="A6005C"/>
      <w:sz w:val="28"/>
      <w:szCs w:val="28"/>
      <w:lang w:val="en-GB" w:eastAsia="en-GB"/>
    </w:rPr>
  </w:style>
  <w:style w:type="paragraph" w:styleId="Xl92" w:customStyle="1">
    <w:name w:val="xl92"/>
    <w:basedOn w:val="Normal"/>
    <w:qFormat/>
    <w:rsid w:val="00ad4544"/>
    <w:pPr>
      <w:pBdr>
        <w:left w:val="single" w:sz="4" w:space="0" w:color="000000"/>
        <w:bottom w:val="single" w:sz="4" w:space="0" w:color="000000"/>
      </w:pBdr>
      <w:shd w:val="clear" w:color="000000" w:fill="FFFFFF"/>
      <w:suppressAutoHyphens w:val="false"/>
      <w:spacing w:beforeAutospacing="1" w:afterAutospacing="1"/>
    </w:pPr>
    <w:rPr>
      <w:rFonts w:ascii="Arial" w:hAnsi="Arial" w:cs="Arial"/>
      <w:sz w:val="28"/>
      <w:szCs w:val="28"/>
      <w:lang w:val="en-GB" w:eastAsia="en-GB"/>
    </w:rPr>
  </w:style>
  <w:style w:type="paragraph" w:styleId="Xl93" w:customStyle="1">
    <w:name w:val="xl93"/>
    <w:basedOn w:val="Normal"/>
    <w:qFormat/>
    <w:rsid w:val="00ad4544"/>
    <w:pPr>
      <w:pBdr>
        <w:bottom w:val="single" w:sz="4" w:space="0" w:color="000000"/>
      </w:pBdr>
      <w:shd w:val="clear" w:color="000000" w:fill="FFFFFF"/>
      <w:suppressAutoHyphens w:val="false"/>
      <w:spacing w:beforeAutospacing="1" w:afterAutospacing="1"/>
    </w:pPr>
    <w:rPr>
      <w:rFonts w:ascii="Arial" w:hAnsi="Arial" w:cs="Arial"/>
      <w:sz w:val="28"/>
      <w:szCs w:val="28"/>
      <w:lang w:val="en-GB" w:eastAsia="en-GB"/>
    </w:rPr>
  </w:style>
  <w:style w:type="paragraph" w:styleId="Xl94" w:customStyle="1">
    <w:name w:val="xl94"/>
    <w:basedOn w:val="Normal"/>
    <w:qFormat/>
    <w:rsid w:val="00ad4544"/>
    <w:pPr>
      <w:pBdr>
        <w:top w:val="single" w:sz="8" w:space="0" w:color="000000"/>
        <w:left w:val="single" w:sz="8" w:space="0" w:color="000000"/>
        <w:bottom w:val="single" w:sz="8" w:space="0" w:color="000000"/>
        <w:right w:val="single" w:sz="4" w:space="0" w:color="404040"/>
      </w:pBdr>
      <w:suppressAutoHyphens w:val="false"/>
      <w:spacing w:beforeAutospacing="1" w:afterAutospacing="1"/>
      <w:jc w:val="center"/>
    </w:pPr>
    <w:rPr>
      <w:rFonts w:ascii="Arial" w:hAnsi="Arial" w:cs="Arial"/>
      <w:lang w:val="en-GB" w:eastAsia="en-GB"/>
    </w:rPr>
  </w:style>
  <w:style w:type="paragraph" w:styleId="Xl95" w:customStyle="1">
    <w:name w:val="xl95"/>
    <w:basedOn w:val="Normal"/>
    <w:qFormat/>
    <w:rsid w:val="00ad4544"/>
    <w:pPr>
      <w:pBdr>
        <w:top w:val="single" w:sz="8" w:space="0" w:color="000000"/>
        <w:left w:val="single" w:sz="4" w:space="0" w:color="404040"/>
        <w:bottom w:val="single" w:sz="8" w:space="0" w:color="000000"/>
      </w:pBdr>
      <w:suppressAutoHyphens w:val="false"/>
      <w:spacing w:beforeAutospacing="1" w:afterAutospacing="1"/>
      <w:jc w:val="center"/>
    </w:pPr>
    <w:rPr>
      <w:rFonts w:ascii="Arial" w:hAnsi="Arial" w:cs="Arial"/>
      <w:lang w:val="en-GB" w:eastAsia="en-GB"/>
    </w:rPr>
  </w:style>
  <w:style w:type="paragraph" w:styleId="Xl96" w:customStyle="1">
    <w:name w:val="xl96"/>
    <w:basedOn w:val="Normal"/>
    <w:qFormat/>
    <w:rsid w:val="00ad4544"/>
    <w:pPr>
      <w:pBdr>
        <w:top w:val="single" w:sz="8" w:space="0" w:color="000000"/>
        <w:left w:val="single" w:sz="4" w:space="0" w:color="404040"/>
        <w:bottom w:val="single" w:sz="8" w:space="0" w:color="000000"/>
        <w:right w:val="single" w:sz="4" w:space="0" w:color="404040"/>
      </w:pBdr>
      <w:suppressAutoHyphens w:val="false"/>
      <w:spacing w:beforeAutospacing="1" w:afterAutospacing="1"/>
      <w:jc w:val="center"/>
    </w:pPr>
    <w:rPr>
      <w:rFonts w:ascii="Arial" w:hAnsi="Arial" w:cs="Arial"/>
      <w:lang w:val="en-GB" w:eastAsia="en-GB"/>
    </w:rPr>
  </w:style>
  <w:style w:type="paragraph" w:styleId="Xl97" w:customStyle="1">
    <w:name w:val="xl97"/>
    <w:basedOn w:val="Normal"/>
    <w:qFormat/>
    <w:rsid w:val="00ad4544"/>
    <w:pPr>
      <w:pBdr>
        <w:top w:val="single" w:sz="8" w:space="0" w:color="000000"/>
        <w:left w:val="single" w:sz="4" w:space="0" w:color="404040"/>
        <w:bottom w:val="single" w:sz="8" w:space="0" w:color="000000"/>
        <w:right w:val="single" w:sz="8" w:space="0" w:color="000000"/>
      </w:pBdr>
      <w:suppressAutoHyphens w:val="false"/>
      <w:spacing w:beforeAutospacing="1" w:afterAutospacing="1"/>
      <w:jc w:val="center"/>
    </w:pPr>
    <w:rPr>
      <w:rFonts w:ascii="Arial" w:hAnsi="Arial" w:cs="Arial"/>
      <w:lang w:val="en-GB" w:eastAsia="en-GB"/>
    </w:rPr>
  </w:style>
  <w:style w:type="paragraph" w:styleId="Xl98" w:customStyle="1">
    <w:name w:val="xl98"/>
    <w:basedOn w:val="Normal"/>
    <w:qFormat/>
    <w:rsid w:val="00ad4544"/>
    <w:pPr>
      <w:pBdr>
        <w:top w:val="single" w:sz="4" w:space="0" w:color="000000"/>
        <w:bottom w:val="single" w:sz="8" w:space="0" w:color="000000"/>
        <w:right w:val="single" w:sz="4" w:space="0" w:color="404040"/>
      </w:pBdr>
      <w:suppressAutoHyphens w:val="false"/>
      <w:spacing w:beforeAutospacing="1" w:afterAutospacing="1"/>
      <w:jc w:val="center"/>
    </w:pPr>
    <w:rPr>
      <w:rFonts w:ascii="Arial" w:hAnsi="Arial" w:cs="Arial"/>
      <w:lang w:val="en-GB" w:eastAsia="en-GB"/>
    </w:rPr>
  </w:style>
  <w:style w:type="paragraph" w:styleId="Xl99" w:customStyle="1">
    <w:name w:val="xl99"/>
    <w:basedOn w:val="Normal"/>
    <w:qFormat/>
    <w:rsid w:val="00ad4544"/>
    <w:pPr>
      <w:pBdr>
        <w:top w:val="single" w:sz="4" w:space="0" w:color="000000"/>
        <w:left w:val="single" w:sz="4" w:space="0" w:color="404040"/>
        <w:bottom w:val="single" w:sz="8" w:space="0" w:color="000000"/>
        <w:right w:val="single" w:sz="4" w:space="0" w:color="404040"/>
      </w:pBdr>
      <w:suppressAutoHyphens w:val="false"/>
      <w:spacing w:beforeAutospacing="1" w:afterAutospacing="1"/>
      <w:jc w:val="center"/>
    </w:pPr>
    <w:rPr>
      <w:rFonts w:ascii="Arial" w:hAnsi="Arial" w:cs="Arial"/>
      <w:lang w:val="en-GB" w:eastAsia="en-GB"/>
    </w:rPr>
  </w:style>
  <w:style w:type="paragraph" w:styleId="Xl100" w:customStyle="1">
    <w:name w:val="xl100"/>
    <w:basedOn w:val="Normal"/>
    <w:qFormat/>
    <w:rsid w:val="00ad4544"/>
    <w:pPr>
      <w:pBdr>
        <w:top w:val="single" w:sz="4" w:space="0" w:color="000000"/>
        <w:left w:val="single" w:sz="4" w:space="0" w:color="404040"/>
        <w:bottom w:val="single" w:sz="8" w:space="0" w:color="000000"/>
      </w:pBdr>
      <w:suppressAutoHyphens w:val="false"/>
      <w:spacing w:beforeAutospacing="1" w:afterAutospacing="1"/>
      <w:jc w:val="center"/>
    </w:pPr>
    <w:rPr>
      <w:rFonts w:ascii="Arial" w:hAnsi="Arial" w:cs="Arial"/>
      <w:lang w:val="en-GB" w:eastAsia="en-GB"/>
    </w:rPr>
  </w:style>
  <w:style w:type="paragraph" w:styleId="Xl101" w:customStyle="1">
    <w:name w:val="xl101"/>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sz w:val="28"/>
      <w:szCs w:val="28"/>
      <w:lang w:val="en-GB" w:eastAsia="en-GB"/>
    </w:rPr>
  </w:style>
  <w:style w:type="paragraph" w:styleId="Xl102" w:customStyle="1">
    <w:name w:val="xl102"/>
    <w:basedOn w:val="Normal"/>
    <w:qFormat/>
    <w:rsid w:val="00ad4544"/>
    <w:pPr>
      <w:pBdr>
        <w:top w:val="single" w:sz="8" w:space="0" w:color="000000"/>
        <w:left w:val="single" w:sz="8" w:space="0" w:color="000000"/>
        <w:right w:val="single" w:sz="4" w:space="0" w:color="000000"/>
      </w:pBdr>
      <w:suppressAutoHyphens w:val="false"/>
      <w:spacing w:beforeAutospacing="1" w:afterAutospacing="1"/>
      <w:jc w:val="center"/>
      <w:textAlignment w:val="center"/>
    </w:pPr>
    <w:rPr>
      <w:rFonts w:ascii="Arial" w:hAnsi="Arial" w:cs="Arial"/>
      <w:lang w:val="en-GB" w:eastAsia="en-GB"/>
    </w:rPr>
  </w:style>
  <w:style w:type="paragraph" w:styleId="Xl103" w:customStyle="1">
    <w:name w:val="xl103"/>
    <w:basedOn w:val="Normal"/>
    <w:qFormat/>
    <w:rsid w:val="00ad4544"/>
    <w:pPr>
      <w:pBdr>
        <w:top w:val="single" w:sz="8" w:space="0" w:color="000000"/>
        <w:left w:val="single" w:sz="4" w:space="0" w:color="000000"/>
        <w:right w:val="single" w:sz="4" w:space="0" w:color="000000"/>
      </w:pBdr>
      <w:suppressAutoHyphens w:val="false"/>
      <w:spacing w:beforeAutospacing="1" w:afterAutospacing="1"/>
      <w:jc w:val="center"/>
      <w:textAlignment w:val="center"/>
    </w:pPr>
    <w:rPr>
      <w:rFonts w:ascii="Arial" w:hAnsi="Arial" w:cs="Arial"/>
      <w:lang w:val="en-GB" w:eastAsia="en-GB"/>
    </w:rPr>
  </w:style>
  <w:style w:type="paragraph" w:styleId="Xl104" w:customStyle="1">
    <w:name w:val="xl104"/>
    <w:basedOn w:val="Normal"/>
    <w:qFormat/>
    <w:rsid w:val="00ad4544"/>
    <w:pPr>
      <w:pBdr>
        <w:top w:val="single" w:sz="8"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Arial" w:hAnsi="Arial" w:cs="Arial"/>
      <w:lang w:val="en-GB" w:eastAsia="en-GB"/>
    </w:rPr>
  </w:style>
  <w:style w:type="paragraph" w:styleId="Xl105" w:customStyle="1">
    <w:name w:val="xl105"/>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sz w:val="28"/>
      <w:szCs w:val="28"/>
      <w:lang w:val="en-GB" w:eastAsia="en-GB"/>
    </w:rPr>
  </w:style>
  <w:style w:type="paragraph" w:styleId="Xl106" w:customStyle="1">
    <w:name w:val="xl106"/>
    <w:basedOn w:val="Normal"/>
    <w:qFormat/>
    <w:rsid w:val="00ad4544"/>
    <w:pPr>
      <w:pBdr>
        <w:left w:val="single" w:sz="4" w:space="0" w:color="262626"/>
        <w:right w:val="single" w:sz="4" w:space="0" w:color="262626"/>
      </w:pBdr>
      <w:suppressAutoHyphens w:val="false"/>
      <w:spacing w:beforeAutospacing="1" w:afterAutospacing="1"/>
      <w:textAlignment w:val="center"/>
    </w:pPr>
    <w:rPr>
      <w:rFonts w:ascii="Arial" w:hAnsi="Arial" w:cs="Arial"/>
      <w:sz w:val="28"/>
      <w:szCs w:val="28"/>
      <w:lang w:val="en-GB" w:eastAsia="en-GB"/>
    </w:rPr>
  </w:style>
  <w:style w:type="paragraph" w:styleId="Xl107" w:customStyle="1">
    <w:name w:val="xl107"/>
    <w:basedOn w:val="Normal"/>
    <w:qFormat/>
    <w:rsid w:val="00ad4544"/>
    <w:pPr>
      <w:pBdr>
        <w:left w:val="single" w:sz="4" w:space="0" w:color="262626"/>
        <w:right w:val="single" w:sz="8" w:space="0" w:color="000000"/>
      </w:pBdr>
      <w:suppressAutoHyphens w:val="false"/>
      <w:spacing w:beforeAutospacing="1" w:afterAutospacing="1"/>
      <w:textAlignment w:val="center"/>
    </w:pPr>
    <w:rPr>
      <w:rFonts w:ascii="Arial" w:hAnsi="Arial" w:cs="Arial"/>
      <w:sz w:val="28"/>
      <w:szCs w:val="28"/>
      <w:lang w:val="en-GB" w:eastAsia="en-GB"/>
    </w:rPr>
  </w:style>
  <w:style w:type="paragraph" w:styleId="Xl108" w:customStyle="1">
    <w:name w:val="xl108"/>
    <w:basedOn w:val="Normal"/>
    <w:qFormat/>
    <w:rsid w:val="00ad4544"/>
    <w:pPr>
      <w:pBdr>
        <w:top w:val="single" w:sz="8" w:space="0" w:color="000000"/>
        <w:left w:val="single" w:sz="8" w:space="0" w:color="000000"/>
      </w:pBd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Xl109" w:customStyle="1">
    <w:name w:val="xl109"/>
    <w:basedOn w:val="Normal"/>
    <w:qFormat/>
    <w:rsid w:val="00ad4544"/>
    <w:pPr>
      <w:pBdr>
        <w:top w:val="single" w:sz="8" w:space="0" w:color="000000"/>
      </w:pBd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Xl110" w:customStyle="1">
    <w:name w:val="xl110"/>
    <w:basedOn w:val="Normal"/>
    <w:qFormat/>
    <w:rsid w:val="00ad4544"/>
    <w:pPr>
      <w:pBdr>
        <w:left w:val="single" w:sz="8" w:space="0" w:color="000000"/>
      </w:pBd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Xl111" w:customStyle="1">
    <w:name w:val="xl111"/>
    <w:basedOn w:val="Normal"/>
    <w:qFormat/>
    <w:rsid w:val="00ad4544"/>
    <w:pP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Xl112" w:customStyle="1">
    <w:name w:val="xl112"/>
    <w:basedOn w:val="Normal"/>
    <w:qFormat/>
    <w:rsid w:val="00ad4544"/>
    <w:pPr>
      <w:pBdr>
        <w:left w:val="single" w:sz="8" w:space="0" w:color="000000"/>
      </w:pBd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Xl113" w:customStyle="1">
    <w:name w:val="xl113"/>
    <w:basedOn w:val="Normal"/>
    <w:qFormat/>
    <w:rsid w:val="00ad4544"/>
    <w:pPr>
      <w:shd w:val="clear" w:color="000000" w:fill="A6005C"/>
      <w:suppressAutoHyphens w:val="false"/>
      <w:spacing w:beforeAutospacing="1" w:afterAutospacing="1"/>
      <w:textAlignment w:val="center"/>
    </w:pPr>
    <w:rPr>
      <w:rFonts w:ascii="Arial" w:hAnsi="Arial" w:cs="Arial"/>
      <w:b/>
      <w:bCs/>
      <w:color w:val="FFFFFF"/>
      <w:sz w:val="28"/>
      <w:szCs w:val="28"/>
      <w:lang w:val="en-GB" w:eastAsia="en-GB"/>
    </w:rPr>
  </w:style>
  <w:style w:type="paragraph" w:styleId="P1" w:customStyle="1">
    <w:name w:val="p1"/>
    <w:basedOn w:val="Normal"/>
    <w:qFormat/>
    <w:rsid w:val="00ad4544"/>
    <w:pPr>
      <w:suppressAutoHyphens w:val="false"/>
    </w:pPr>
    <w:rPr>
      <w:rFonts w:ascii="Helvetica" w:hAnsi="Helvetica"/>
      <w:color w:val="93004A"/>
      <w:lang w:val="en-GB" w:eastAsia="ru-RU"/>
    </w:rPr>
  </w:style>
  <w:style w:type="paragraph" w:styleId="Font5" w:customStyle="1">
    <w:name w:val="font5"/>
    <w:basedOn w:val="Normal"/>
    <w:qFormat/>
    <w:rsid w:val="00ad4544"/>
    <w:pPr>
      <w:suppressAutoHyphens w:val="false"/>
      <w:spacing w:beforeAutospacing="1" w:afterAutospacing="1"/>
    </w:pPr>
    <w:rPr>
      <w:rFonts w:ascii="Arial" w:hAnsi="Arial" w:cs="Arial"/>
      <w:b/>
      <w:bCs/>
      <w:sz w:val="20"/>
      <w:szCs w:val="20"/>
      <w:lang w:val="en-GB" w:eastAsia="en-GB"/>
    </w:rPr>
  </w:style>
  <w:style w:type="paragraph" w:styleId="Font6" w:customStyle="1">
    <w:name w:val="font6"/>
    <w:basedOn w:val="Normal"/>
    <w:qFormat/>
    <w:rsid w:val="00ad4544"/>
    <w:pPr>
      <w:suppressAutoHyphens w:val="false"/>
      <w:spacing w:beforeAutospacing="1" w:afterAutospacing="1"/>
    </w:pPr>
    <w:rPr>
      <w:rFonts w:ascii="Arial" w:hAnsi="Arial" w:cs="Arial"/>
      <w:sz w:val="20"/>
      <w:szCs w:val="20"/>
      <w:lang w:val="en-GB" w:eastAsia="en-GB"/>
    </w:rPr>
  </w:style>
  <w:style w:type="paragraph" w:styleId="Font7" w:customStyle="1">
    <w:name w:val="font7"/>
    <w:basedOn w:val="Normal"/>
    <w:qFormat/>
    <w:rsid w:val="00ad4544"/>
    <w:pPr>
      <w:suppressAutoHyphens w:val="false"/>
      <w:spacing w:beforeAutospacing="1" w:afterAutospacing="1"/>
    </w:pPr>
    <w:rPr>
      <w:rFonts w:ascii="Arial" w:hAnsi="Arial" w:cs="Arial"/>
      <w:b/>
      <w:bCs/>
      <w:sz w:val="28"/>
      <w:szCs w:val="28"/>
      <w:lang w:val="en-GB" w:eastAsia="en-GB"/>
    </w:rPr>
  </w:style>
  <w:style w:type="paragraph" w:styleId="Font8" w:customStyle="1">
    <w:name w:val="font8"/>
    <w:basedOn w:val="Normal"/>
    <w:qFormat/>
    <w:rsid w:val="00ad4544"/>
    <w:pPr>
      <w:suppressAutoHyphens w:val="false"/>
      <w:spacing w:beforeAutospacing="1" w:afterAutospacing="1"/>
    </w:pPr>
    <w:rPr>
      <w:rFonts w:ascii="Arial" w:hAnsi="Arial" w:cs="Arial"/>
      <w:b/>
      <w:bCs/>
      <w:sz w:val="18"/>
      <w:szCs w:val="18"/>
      <w:lang w:val="en-GB" w:eastAsia="en-GB"/>
    </w:rPr>
  </w:style>
  <w:style w:type="paragraph" w:styleId="Font9" w:customStyle="1">
    <w:name w:val="font9"/>
    <w:basedOn w:val="Normal"/>
    <w:qFormat/>
    <w:rsid w:val="00ad4544"/>
    <w:pPr>
      <w:suppressAutoHyphens w:val="false"/>
      <w:spacing w:beforeAutospacing="1" w:afterAutospacing="1"/>
    </w:pPr>
    <w:rPr>
      <w:rFonts w:ascii="Arial" w:hAnsi="Arial" w:cs="Arial"/>
      <w:b/>
      <w:bCs/>
      <w:sz w:val="20"/>
      <w:szCs w:val="20"/>
      <w:lang w:val="en-GB" w:eastAsia="en-GB"/>
    </w:rPr>
  </w:style>
  <w:style w:type="paragraph" w:styleId="Font10" w:customStyle="1">
    <w:name w:val="font10"/>
    <w:basedOn w:val="Normal"/>
    <w:qFormat/>
    <w:rsid w:val="00ad4544"/>
    <w:pPr>
      <w:suppressAutoHyphens w:val="false"/>
      <w:spacing w:beforeAutospacing="1" w:afterAutospacing="1"/>
    </w:pPr>
    <w:rPr>
      <w:rFonts w:ascii="Arial" w:hAnsi="Arial" w:cs="Arial"/>
      <w:b/>
      <w:bCs/>
      <w:sz w:val="28"/>
      <w:szCs w:val="28"/>
      <w:lang w:val="en-GB" w:eastAsia="en-GB"/>
    </w:rPr>
  </w:style>
  <w:style w:type="paragraph" w:styleId="Font11" w:customStyle="1">
    <w:name w:val="font11"/>
    <w:basedOn w:val="Normal"/>
    <w:qFormat/>
    <w:rsid w:val="00ad4544"/>
    <w:pPr>
      <w:suppressAutoHyphens w:val="false"/>
      <w:spacing w:beforeAutospacing="1" w:afterAutospacing="1"/>
    </w:pPr>
    <w:rPr>
      <w:rFonts w:ascii="Arial" w:hAnsi="Arial" w:cs="Arial"/>
      <w:i/>
      <w:iCs/>
      <w:color w:val="FF6600"/>
      <w:sz w:val="20"/>
      <w:szCs w:val="20"/>
      <w:lang w:val="en-GB" w:eastAsia="en-GB"/>
    </w:rPr>
  </w:style>
  <w:style w:type="paragraph" w:styleId="Xl114" w:customStyle="1">
    <w:name w:val="xl114"/>
    <w:basedOn w:val="Normal"/>
    <w:qFormat/>
    <w:rsid w:val="00ad4544"/>
    <w:pPr>
      <w:pBdr>
        <w:bottom w:val="single" w:sz="8" w:space="0" w:color="000000"/>
        <w:right w:val="single" w:sz="8" w:space="0" w:color="000000"/>
      </w:pBdr>
      <w:shd w:val="clear" w:color="000000" w:fill="00FF00"/>
      <w:suppressAutoHyphens w:val="false"/>
      <w:spacing w:beforeAutospacing="1" w:afterAutospacing="1"/>
      <w:jc w:val="center"/>
      <w:textAlignment w:val="center"/>
    </w:pPr>
    <w:rPr>
      <w:rFonts w:ascii="Arial" w:hAnsi="Arial" w:cs="Arial"/>
      <w:lang w:val="en-GB" w:eastAsia="en-GB"/>
    </w:rPr>
  </w:style>
  <w:style w:type="paragraph" w:styleId="Xl115" w:customStyle="1">
    <w:name w:val="xl115"/>
    <w:basedOn w:val="Normal"/>
    <w:qFormat/>
    <w:rsid w:val="00ad4544"/>
    <w:pPr>
      <w:pBdr>
        <w:left w:val="single" w:sz="8" w:space="0" w:color="000000"/>
        <w:bottom w:val="single" w:sz="8" w:space="0" w:color="000000"/>
        <w:right w:val="single" w:sz="8" w:space="0" w:color="000000"/>
      </w:pBdr>
      <w:suppressAutoHyphens w:val="false"/>
      <w:spacing w:beforeAutospacing="1" w:afterAutospacing="1"/>
      <w:jc w:val="center"/>
      <w:textAlignment w:val="center"/>
    </w:pPr>
    <w:rPr>
      <w:rFonts w:ascii="Arial" w:hAnsi="Arial" w:cs="Arial"/>
      <w:lang w:val="en-GB" w:eastAsia="en-GB"/>
    </w:rPr>
  </w:style>
  <w:style w:type="paragraph" w:styleId="Xl116" w:customStyle="1">
    <w:name w:val="xl116"/>
    <w:basedOn w:val="Normal"/>
    <w:qFormat/>
    <w:rsid w:val="00ad4544"/>
    <w:pPr>
      <w:pBdr>
        <w:bottom w:val="single" w:sz="8" w:space="0" w:color="000000"/>
        <w:right w:val="single" w:sz="8" w:space="0" w:color="000000"/>
      </w:pBdr>
      <w:suppressAutoHyphens w:val="false"/>
      <w:spacing w:beforeAutospacing="1" w:afterAutospacing="1"/>
      <w:jc w:val="center"/>
      <w:textAlignment w:val="center"/>
    </w:pPr>
    <w:rPr>
      <w:rFonts w:ascii="Arial" w:hAnsi="Arial" w:cs="Arial"/>
      <w:lang w:val="en-GB" w:eastAsia="en-GB"/>
    </w:rPr>
  </w:style>
  <w:style w:type="paragraph" w:styleId="Xl117" w:customStyle="1">
    <w:name w:val="xl117"/>
    <w:basedOn w:val="Normal"/>
    <w:qFormat/>
    <w:rsid w:val="00ad4544"/>
    <w:pPr>
      <w:pBdr>
        <w:bottom w:val="single" w:sz="8" w:space="0" w:color="000000"/>
        <w:right w:val="single" w:sz="8" w:space="0" w:color="000000"/>
      </w:pBdr>
      <w:shd w:val="clear" w:color="000000" w:fill="FFFF00"/>
      <w:suppressAutoHyphens w:val="false"/>
      <w:spacing w:beforeAutospacing="1" w:afterAutospacing="1"/>
      <w:jc w:val="center"/>
      <w:textAlignment w:val="center"/>
    </w:pPr>
    <w:rPr>
      <w:rFonts w:ascii="Arial" w:hAnsi="Arial" w:cs="Arial"/>
      <w:lang w:val="en-GB" w:eastAsia="en-GB"/>
    </w:rPr>
  </w:style>
  <w:style w:type="paragraph" w:styleId="Xl118" w:customStyle="1">
    <w:name w:val="xl118"/>
    <w:basedOn w:val="Normal"/>
    <w:qFormat/>
    <w:rsid w:val="00ad4544"/>
    <w:pPr>
      <w:pBdr>
        <w:bottom w:val="single" w:sz="8" w:space="0" w:color="000000"/>
        <w:right w:val="single" w:sz="8" w:space="0" w:color="000000"/>
      </w:pBdr>
      <w:shd w:val="clear" w:color="000000" w:fill="FF9900"/>
      <w:suppressAutoHyphens w:val="false"/>
      <w:spacing w:beforeAutospacing="1" w:afterAutospacing="1"/>
      <w:jc w:val="center"/>
      <w:textAlignment w:val="center"/>
    </w:pPr>
    <w:rPr>
      <w:rFonts w:ascii="Arial" w:hAnsi="Arial" w:cs="Arial"/>
      <w:lang w:val="en-GB" w:eastAsia="en-GB"/>
    </w:rPr>
  </w:style>
  <w:style w:type="paragraph" w:styleId="Xl119" w:customStyle="1">
    <w:name w:val="xl119"/>
    <w:basedOn w:val="Normal"/>
    <w:qFormat/>
    <w:rsid w:val="00ad4544"/>
    <w:pPr>
      <w:pBdr>
        <w:bottom w:val="single" w:sz="8" w:space="0" w:color="000000"/>
        <w:right w:val="single" w:sz="8" w:space="0" w:color="000000"/>
      </w:pBdr>
      <w:shd w:val="clear" w:color="000000" w:fill="FF0000"/>
      <w:suppressAutoHyphens w:val="false"/>
      <w:spacing w:beforeAutospacing="1" w:afterAutospacing="1"/>
      <w:jc w:val="center"/>
      <w:textAlignment w:val="center"/>
    </w:pPr>
    <w:rPr>
      <w:rFonts w:ascii="Arial" w:hAnsi="Arial" w:cs="Arial"/>
      <w:lang w:val="en-GB" w:eastAsia="en-GB"/>
    </w:rPr>
  </w:style>
  <w:style w:type="paragraph" w:styleId="Xl120" w:customStyle="1">
    <w:name w:val="xl120"/>
    <w:basedOn w:val="Normal"/>
    <w:qFormat/>
    <w:rsid w:val="00ad4544"/>
    <w:pPr>
      <w:pBdr>
        <w:top w:val="single" w:sz="4" w:space="0" w:color="000000"/>
        <w:left w:val="single" w:sz="4" w:space="0" w:color="000000"/>
        <w:bottom w:val="single" w:sz="4" w:space="0" w:color="000000"/>
        <w:right w:val="single" w:sz="8" w:space="0" w:color="000000"/>
      </w:pBdr>
      <w:shd w:val="clear" w:color="000000" w:fill="FF00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21" w:customStyle="1">
    <w:name w:val="xl121"/>
    <w:basedOn w:val="Normal"/>
    <w:qFormat/>
    <w:rsid w:val="00ad4544"/>
    <w:pPr>
      <w:suppressAutoHyphens w:val="false"/>
      <w:spacing w:beforeAutospacing="1" w:afterAutospacing="1"/>
      <w:textAlignment w:val="center"/>
    </w:pPr>
    <w:rPr>
      <w:rFonts w:ascii="Arial" w:hAnsi="Arial" w:cs="Arial"/>
      <w:sz w:val="28"/>
      <w:szCs w:val="28"/>
      <w:lang w:val="en-GB" w:eastAsia="en-GB"/>
    </w:rPr>
  </w:style>
  <w:style w:type="paragraph" w:styleId="Xl122" w:customStyle="1">
    <w:name w:val="xl122"/>
    <w:basedOn w:val="Normal"/>
    <w:qFormat/>
    <w:rsid w:val="00ad4544"/>
    <w:pPr>
      <w:suppressAutoHyphens w:val="false"/>
      <w:spacing w:beforeAutospacing="1" w:afterAutospacing="1"/>
      <w:textAlignment w:val="center"/>
    </w:pPr>
    <w:rPr>
      <w:rFonts w:ascii="Arial" w:hAnsi="Arial" w:cs="Arial"/>
      <w:lang w:val="en-GB" w:eastAsia="en-GB"/>
    </w:rPr>
  </w:style>
  <w:style w:type="paragraph" w:styleId="Xl123" w:customStyle="1">
    <w:name w:val="xl123"/>
    <w:basedOn w:val="Normal"/>
    <w:qFormat/>
    <w:rsid w:val="00ad4544"/>
    <w:pPr>
      <w:suppressAutoHyphens w:val="false"/>
      <w:spacing w:beforeAutospacing="1" w:afterAutospacing="1"/>
      <w:jc w:val="center"/>
      <w:textAlignment w:val="center"/>
    </w:pPr>
    <w:rPr>
      <w:rFonts w:ascii="Arial" w:hAnsi="Arial" w:cs="Arial"/>
      <w:lang w:val="en-GB" w:eastAsia="en-GB"/>
    </w:rPr>
  </w:style>
  <w:style w:type="paragraph" w:styleId="Xl124" w:customStyle="1">
    <w:name w:val="xl124"/>
    <w:basedOn w:val="Normal"/>
    <w:qFormat/>
    <w:rsid w:val="00ad4544"/>
    <w:pPr>
      <w:suppressAutoHyphens w:val="false"/>
      <w:spacing w:beforeAutospacing="1" w:afterAutospacing="1"/>
      <w:textAlignment w:val="center"/>
    </w:pPr>
    <w:rPr>
      <w:rFonts w:ascii="Arial" w:hAnsi="Arial" w:cs="Arial"/>
      <w:lang w:val="en-GB" w:eastAsia="en-GB"/>
    </w:rPr>
  </w:style>
  <w:style w:type="paragraph" w:styleId="Xl125" w:customStyle="1">
    <w:name w:val="xl125"/>
    <w:basedOn w:val="Normal"/>
    <w:qFormat/>
    <w:rsid w:val="00ad4544"/>
    <w:pPr>
      <w:suppressAutoHyphens w:val="false"/>
      <w:spacing w:beforeAutospacing="1" w:afterAutospacing="1"/>
    </w:pPr>
    <w:rPr>
      <w:rFonts w:ascii="Arial" w:hAnsi="Arial" w:cs="Arial"/>
      <w:lang w:val="en-GB" w:eastAsia="en-GB"/>
    </w:rPr>
  </w:style>
  <w:style w:type="paragraph" w:styleId="Xl126" w:customStyle="1">
    <w:name w:val="xl126"/>
    <w:basedOn w:val="Normal"/>
    <w:qFormat/>
    <w:rsid w:val="00ad4544"/>
    <w:pPr>
      <w:pBdr>
        <w:top w:val="single" w:sz="8" w:space="0" w:color="000000"/>
        <w:bottom w:val="single" w:sz="8" w:space="0" w:color="000000"/>
        <w:right w:val="single" w:sz="8" w:space="0" w:color="000000"/>
      </w:pBdr>
      <w:suppressAutoHyphens w:val="false"/>
      <w:spacing w:beforeAutospacing="1" w:afterAutospacing="1"/>
      <w:textAlignment w:val="center"/>
    </w:pPr>
    <w:rPr>
      <w:rFonts w:ascii="Arial" w:hAnsi="Arial" w:cs="Arial"/>
      <w:b/>
      <w:bCs/>
      <w:lang w:val="en-GB" w:eastAsia="en-GB"/>
    </w:rPr>
  </w:style>
  <w:style w:type="paragraph" w:styleId="Xl127" w:customStyle="1">
    <w:name w:val="xl127"/>
    <w:basedOn w:val="Normal"/>
    <w:qFormat/>
    <w:rsid w:val="00ad4544"/>
    <w:pPr>
      <w:pBdr>
        <w:bottom w:val="single" w:sz="8" w:space="0" w:color="000000"/>
        <w:right w:val="single" w:sz="8" w:space="0" w:color="000000"/>
      </w:pBdr>
      <w:suppressAutoHyphens w:val="false"/>
      <w:spacing w:beforeAutospacing="1" w:afterAutospacing="1"/>
      <w:textAlignment w:val="center"/>
    </w:pPr>
    <w:rPr>
      <w:rFonts w:ascii="Arial" w:hAnsi="Arial" w:cs="Arial"/>
      <w:lang w:val="en-GB" w:eastAsia="en-GB"/>
    </w:rPr>
  </w:style>
  <w:style w:type="paragraph" w:styleId="Xl128" w:customStyle="1">
    <w:name w:val="xl128"/>
    <w:basedOn w:val="Normal"/>
    <w:qFormat/>
    <w:rsid w:val="00ad4544"/>
    <w:pPr>
      <w:pBdr>
        <w:top w:val="single" w:sz="8" w:space="0" w:color="000000"/>
        <w:left w:val="single" w:sz="8" w:space="0" w:color="000000"/>
        <w:bottom w:val="single" w:sz="8" w:space="0" w:color="000000"/>
        <w:right w:val="single" w:sz="8" w:space="0" w:color="000000"/>
      </w:pBdr>
      <w:suppressAutoHyphens w:val="false"/>
      <w:spacing w:beforeAutospacing="1" w:afterAutospacing="1"/>
      <w:textAlignment w:val="center"/>
    </w:pPr>
    <w:rPr>
      <w:rFonts w:ascii="Arial" w:hAnsi="Arial" w:cs="Arial"/>
      <w:b/>
      <w:bCs/>
      <w:lang w:val="en-GB" w:eastAsia="en-GB"/>
    </w:rPr>
  </w:style>
  <w:style w:type="paragraph" w:styleId="Xl129" w:customStyle="1">
    <w:name w:val="xl129"/>
    <w:basedOn w:val="Normal"/>
    <w:qFormat/>
    <w:rsid w:val="00ad4544"/>
    <w:pPr>
      <w:pBdr>
        <w:left w:val="single" w:sz="8" w:space="0" w:color="000000"/>
        <w:bottom w:val="single" w:sz="8" w:space="0" w:color="000000"/>
        <w:right w:val="single" w:sz="8" w:space="0" w:color="000000"/>
      </w:pBdr>
      <w:suppressAutoHyphens w:val="false"/>
      <w:spacing w:beforeAutospacing="1" w:afterAutospacing="1"/>
      <w:textAlignment w:val="center"/>
    </w:pPr>
    <w:rPr>
      <w:rFonts w:ascii="Arial" w:hAnsi="Arial" w:cs="Arial"/>
      <w:lang w:val="en-GB" w:eastAsia="en-GB"/>
    </w:rPr>
  </w:style>
  <w:style w:type="paragraph" w:styleId="Xl130" w:customStyle="1">
    <w:name w:val="xl130"/>
    <w:basedOn w:val="Normal"/>
    <w:qFormat/>
    <w:rsid w:val="00ad4544"/>
    <w:pPr>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b/>
      <w:bCs/>
      <w:lang w:val="en-GB" w:eastAsia="en-GB"/>
    </w:rPr>
  </w:style>
  <w:style w:type="paragraph" w:styleId="Xl131" w:customStyle="1">
    <w:name w:val="xl131"/>
    <w:basedOn w:val="Normal"/>
    <w:qFormat/>
    <w:rsid w:val="00ad4544"/>
    <w:pPr>
      <w:suppressAutoHyphens w:val="false"/>
      <w:spacing w:beforeAutospacing="1" w:afterAutospacing="1"/>
      <w:jc w:val="center"/>
      <w:textAlignment w:val="top"/>
    </w:pPr>
    <w:rPr>
      <w:rFonts w:ascii="Arial" w:hAnsi="Arial" w:cs="Arial"/>
      <w:b/>
      <w:bCs/>
      <w:lang w:val="en-GB" w:eastAsia="en-GB"/>
    </w:rPr>
  </w:style>
  <w:style w:type="paragraph" w:styleId="Xl132" w:customStyle="1">
    <w:name w:val="xl132"/>
    <w:basedOn w:val="Normal"/>
    <w:qFormat/>
    <w:rsid w:val="00ad4544"/>
    <w:pPr>
      <w:suppressAutoHyphens w:val="false"/>
      <w:spacing w:beforeAutospacing="1" w:afterAutospacing="1"/>
      <w:jc w:val="center"/>
      <w:textAlignment w:val="top"/>
    </w:pPr>
    <w:rPr>
      <w:rFonts w:ascii="Arial" w:hAnsi="Arial" w:cs="Arial"/>
      <w:b/>
      <w:bCs/>
      <w:lang w:val="en-GB" w:eastAsia="en-GB"/>
    </w:rPr>
  </w:style>
  <w:style w:type="paragraph" w:styleId="Xl133" w:customStyle="1">
    <w:name w:val="xl133"/>
    <w:basedOn w:val="Normal"/>
    <w:qFormat/>
    <w:rsid w:val="00ad4544"/>
    <w:pPr>
      <w:pBdr>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Arial" w:hAnsi="Arial" w:cs="Arial"/>
      <w:lang w:val="en-GB" w:eastAsia="en-GB"/>
    </w:rPr>
  </w:style>
  <w:style w:type="paragraph" w:styleId="Xl134" w:customStyle="1">
    <w:name w:val="xl134"/>
    <w:basedOn w:val="Normal"/>
    <w:qFormat/>
    <w:rsid w:val="00ad4544"/>
    <w:pPr>
      <w:pBdr>
        <w:left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lang w:val="en-GB" w:eastAsia="en-GB"/>
    </w:rPr>
  </w:style>
  <w:style w:type="paragraph" w:styleId="Xl135" w:customStyle="1">
    <w:name w:val="xl135"/>
    <w:basedOn w:val="Normal"/>
    <w:qFormat/>
    <w:rsid w:val="00ad4544"/>
    <w:pPr>
      <w:pBdr>
        <w:top w:val="single" w:sz="4" w:space="0" w:color="000000"/>
        <w:left w:val="single" w:sz="4" w:space="0" w:color="000000"/>
        <w:right w:val="single" w:sz="4" w:space="0" w:color="000000"/>
      </w:pBdr>
      <w:suppressAutoHyphens w:val="false"/>
      <w:spacing w:beforeAutospacing="1" w:afterAutospacing="1"/>
      <w:jc w:val="center"/>
      <w:textAlignment w:val="center"/>
    </w:pPr>
    <w:rPr>
      <w:rFonts w:ascii="Arial" w:hAnsi="Arial" w:cs="Arial"/>
      <w:lang w:val="en-GB" w:eastAsia="en-GB"/>
    </w:rPr>
  </w:style>
  <w:style w:type="paragraph" w:styleId="Xl136" w:customStyle="1">
    <w:name w:val="xl136"/>
    <w:basedOn w:val="Normal"/>
    <w:qFormat/>
    <w:rsid w:val="00ad4544"/>
    <w:pPr>
      <w:pBdr>
        <w:bottom w:val="single" w:sz="4" w:space="0" w:color="000000"/>
        <w:right w:val="single" w:sz="4" w:space="0" w:color="000000"/>
      </w:pBdr>
      <w:suppressAutoHyphens w:val="false"/>
      <w:spacing w:beforeAutospacing="1" w:afterAutospacing="1"/>
      <w:textAlignment w:val="center"/>
    </w:pPr>
    <w:rPr>
      <w:rFonts w:ascii="Arial" w:hAnsi="Arial" w:cs="Arial"/>
      <w:lang w:val="en-GB" w:eastAsia="en-GB"/>
    </w:rPr>
  </w:style>
  <w:style w:type="paragraph" w:styleId="Xl137" w:customStyle="1">
    <w:name w:val="xl137"/>
    <w:basedOn w:val="Normal"/>
    <w:qFormat/>
    <w:rsid w:val="00ad4544"/>
    <w:pPr>
      <w:pBdr>
        <w:top w:val="single" w:sz="4" w:space="0" w:color="000000"/>
        <w:left w:val="single" w:sz="4" w:space="0" w:color="000000"/>
        <w:bottom w:val="single" w:sz="4" w:space="0" w:color="000000"/>
        <w:right w:val="single" w:sz="8" w:space="0" w:color="000000"/>
      </w:pBdr>
      <w:shd w:val="clear" w:color="000000" w:fill="FF00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38" w:customStyle="1">
    <w:name w:val="xl138"/>
    <w:basedOn w:val="Normal"/>
    <w:qFormat/>
    <w:rsid w:val="00ad4544"/>
    <w:pPr>
      <w:pBdr>
        <w:left w:val="single" w:sz="4" w:space="0" w:color="000000"/>
        <w:bottom w:val="single" w:sz="4" w:space="0" w:color="000000"/>
        <w:right w:val="single" w:sz="4" w:space="0" w:color="000000"/>
      </w:pBdr>
      <w:shd w:val="clear" w:color="000000" w:fill="FFFF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39" w:customStyle="1">
    <w:name w:val="xl139"/>
    <w:basedOn w:val="Normal"/>
    <w:qFormat/>
    <w:rsid w:val="00ad4544"/>
    <w:pPr>
      <w:pBdr>
        <w:top w:val="single" w:sz="4" w:space="0" w:color="000000"/>
        <w:left w:val="single" w:sz="4" w:space="0" w:color="000000"/>
        <w:bottom w:val="single" w:sz="4" w:space="0" w:color="000000"/>
        <w:right w:val="single" w:sz="8" w:space="0" w:color="000000"/>
      </w:pBdr>
      <w:shd w:val="clear" w:color="000000" w:fill="00FF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40" w:customStyle="1">
    <w:name w:val="xl140"/>
    <w:basedOn w:val="Normal"/>
    <w:qFormat/>
    <w:rsid w:val="00ad4544"/>
    <w:pPr>
      <w:pBdr>
        <w:top w:val="single" w:sz="4" w:space="0" w:color="000000"/>
        <w:left w:val="single" w:sz="4" w:space="0" w:color="000000"/>
        <w:bottom w:val="single" w:sz="4" w:space="0" w:color="000000"/>
        <w:right w:val="single" w:sz="8" w:space="0" w:color="000000"/>
      </w:pBdr>
      <w:shd w:val="clear" w:color="000000" w:fill="FFFF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41" w:customStyle="1">
    <w:name w:val="xl141"/>
    <w:basedOn w:val="Normal"/>
    <w:qFormat/>
    <w:rsid w:val="00ad4544"/>
    <w:pPr>
      <w:pBdr>
        <w:left w:val="single" w:sz="4" w:space="0" w:color="000000"/>
        <w:right w:val="single" w:sz="8" w:space="0" w:color="000000"/>
      </w:pBdr>
      <w:shd w:val="clear" w:color="000000" w:fill="FF00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42" w:customStyle="1">
    <w:name w:val="xl142"/>
    <w:basedOn w:val="Normal"/>
    <w:qFormat/>
    <w:rsid w:val="00ad4544"/>
    <w:pPr>
      <w:pBdr>
        <w:top w:val="single" w:sz="4" w:space="0" w:color="000000"/>
        <w:left w:val="single" w:sz="4" w:space="0" w:color="000000"/>
        <w:bottom w:val="single" w:sz="4" w:space="0" w:color="000000"/>
        <w:right w:val="single" w:sz="4" w:space="0" w:color="000000"/>
      </w:pBdr>
      <w:shd w:val="clear" w:color="000000" w:fill="FFFF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43" w:customStyle="1">
    <w:name w:val="xl143"/>
    <w:basedOn w:val="Normal"/>
    <w:qFormat/>
    <w:rsid w:val="00ad4544"/>
    <w:pPr>
      <w:pBdr>
        <w:top w:val="single" w:sz="4" w:space="0" w:color="000000"/>
        <w:left w:val="single" w:sz="4" w:space="0" w:color="000000"/>
        <w:bottom w:val="single" w:sz="4" w:space="0" w:color="000000"/>
        <w:right w:val="single" w:sz="4" w:space="0" w:color="000000"/>
      </w:pBdr>
      <w:shd w:val="clear" w:color="000000" w:fill="00FF00"/>
      <w:suppressAutoHyphens w:val="false"/>
      <w:spacing w:beforeAutospacing="1" w:afterAutospacing="1"/>
      <w:jc w:val="center"/>
      <w:textAlignment w:val="center"/>
    </w:pPr>
    <w:rPr>
      <w:rFonts w:ascii="Arial" w:hAnsi="Arial" w:cs="Arial"/>
      <w:b/>
      <w:bCs/>
      <w:sz w:val="28"/>
      <w:szCs w:val="28"/>
      <w:lang w:val="en-GB" w:eastAsia="en-GB"/>
    </w:rPr>
  </w:style>
  <w:style w:type="paragraph" w:styleId="Xl144" w:customStyle="1">
    <w:name w:val="xl144"/>
    <w:basedOn w:val="Normal"/>
    <w:qFormat/>
    <w:rsid w:val="00ad4544"/>
    <w:pPr>
      <w:pBdr>
        <w:top w:val="single" w:sz="8" w:space="0" w:color="000000"/>
        <w:left w:val="single" w:sz="8" w:space="0" w:color="000000"/>
        <w:right w:val="single" w:sz="8" w:space="0" w:color="000000"/>
      </w:pBdr>
      <w:suppressAutoHyphens w:val="false"/>
      <w:spacing w:beforeAutospacing="1" w:afterAutospacing="1"/>
      <w:jc w:val="center"/>
      <w:textAlignment w:val="center"/>
    </w:pPr>
    <w:rPr>
      <w:rFonts w:ascii="Arial" w:hAnsi="Arial" w:cs="Arial"/>
      <w:lang w:val="en-GB" w:eastAsia="en-GB"/>
    </w:rPr>
  </w:style>
  <w:style w:type="paragraph" w:styleId="Xl145" w:customStyle="1">
    <w:name w:val="xl145"/>
    <w:basedOn w:val="Normal"/>
    <w:qFormat/>
    <w:rsid w:val="00ad4544"/>
    <w:pPr>
      <w:pBdr>
        <w:left w:val="single" w:sz="4" w:space="0" w:color="000000"/>
        <w:bottom w:val="single" w:sz="4" w:space="0" w:color="000000"/>
      </w:pBdr>
      <w:suppressAutoHyphens w:val="false"/>
      <w:spacing w:beforeAutospacing="1" w:afterAutospacing="1"/>
      <w:textAlignment w:val="top"/>
    </w:pPr>
    <w:rPr>
      <w:rFonts w:ascii="Arial" w:hAnsi="Arial" w:cs="Arial"/>
      <w:b/>
      <w:bCs/>
      <w:lang w:val="en-GB" w:eastAsia="en-GB"/>
    </w:rPr>
  </w:style>
  <w:style w:type="paragraph" w:styleId="Xl146" w:customStyle="1">
    <w:name w:val="xl146"/>
    <w:basedOn w:val="Normal"/>
    <w:qFormat/>
    <w:rsid w:val="00ad4544"/>
    <w:pPr>
      <w:pBdr>
        <w:bottom w:val="single" w:sz="4" w:space="0" w:color="000000"/>
      </w:pBdr>
      <w:suppressAutoHyphens w:val="false"/>
      <w:spacing w:beforeAutospacing="1" w:afterAutospacing="1"/>
      <w:textAlignment w:val="top"/>
    </w:pPr>
    <w:rPr>
      <w:rFonts w:ascii="Arial" w:hAnsi="Arial" w:cs="Arial"/>
      <w:b/>
      <w:bCs/>
      <w:lang w:val="en-GB" w:eastAsia="en-GB"/>
    </w:rPr>
  </w:style>
  <w:style w:type="paragraph" w:styleId="Xl147" w:customStyle="1">
    <w:name w:val="xl147"/>
    <w:basedOn w:val="Normal"/>
    <w:qFormat/>
    <w:rsid w:val="00ad4544"/>
    <w:pPr>
      <w:pBdr>
        <w:bottom w:val="single" w:sz="4" w:space="0" w:color="000000"/>
        <w:right w:val="single" w:sz="4" w:space="0" w:color="000000"/>
      </w:pBdr>
      <w:suppressAutoHyphens w:val="false"/>
      <w:spacing w:beforeAutospacing="1" w:afterAutospacing="1"/>
      <w:textAlignment w:val="top"/>
    </w:pPr>
    <w:rPr>
      <w:rFonts w:ascii="Arial" w:hAnsi="Arial" w:cs="Arial"/>
      <w:b/>
      <w:bCs/>
      <w:lang w:val="en-GB" w:eastAsia="en-GB"/>
    </w:rPr>
  </w:style>
  <w:style w:type="paragraph" w:styleId="Xl148" w:customStyle="1">
    <w:name w:val="xl148"/>
    <w:basedOn w:val="Normal"/>
    <w:qFormat/>
    <w:rsid w:val="00ad4544"/>
    <w:pPr>
      <w:pBdr>
        <w:top w:val="single" w:sz="4" w:space="0" w:color="000000"/>
        <w:left w:val="single" w:sz="4" w:space="0" w:color="000000"/>
        <w:bottom w:val="single" w:sz="4" w:space="0" w:color="000000"/>
      </w:pBdr>
      <w:suppressAutoHyphens w:val="false"/>
      <w:spacing w:beforeAutospacing="1" w:afterAutospacing="1"/>
      <w:textAlignment w:val="center"/>
    </w:pPr>
    <w:rPr>
      <w:rFonts w:ascii="Arial" w:hAnsi="Arial" w:cs="Arial"/>
      <w:b/>
      <w:bCs/>
      <w:lang w:val="en-GB" w:eastAsia="en-GB"/>
    </w:rPr>
  </w:style>
  <w:style w:type="paragraph" w:styleId="Xl149" w:customStyle="1">
    <w:name w:val="xl149"/>
    <w:basedOn w:val="Normal"/>
    <w:qFormat/>
    <w:rsid w:val="00ad4544"/>
    <w:pPr>
      <w:pBdr>
        <w:top w:val="single" w:sz="4" w:space="0" w:color="000000"/>
        <w:bottom w:val="single" w:sz="4" w:space="0" w:color="000000"/>
      </w:pBdr>
      <w:suppressAutoHyphens w:val="false"/>
      <w:spacing w:beforeAutospacing="1" w:afterAutospacing="1"/>
      <w:textAlignment w:val="center"/>
    </w:pPr>
    <w:rPr>
      <w:rFonts w:ascii="Arial" w:hAnsi="Arial" w:cs="Arial"/>
      <w:b/>
      <w:bCs/>
      <w:lang w:val="en-GB" w:eastAsia="en-GB"/>
    </w:rPr>
  </w:style>
  <w:style w:type="paragraph" w:styleId="Xl150" w:customStyle="1">
    <w:name w:val="xl150"/>
    <w:basedOn w:val="Normal"/>
    <w:qFormat/>
    <w:rsid w:val="00ad4544"/>
    <w:pPr>
      <w:pBdr>
        <w:top w:val="single" w:sz="4" w:space="0" w:color="000000"/>
        <w:bottom w:val="single" w:sz="4" w:space="0" w:color="000000"/>
        <w:right w:val="single" w:sz="4" w:space="0" w:color="000000"/>
      </w:pBdr>
      <w:suppressAutoHyphens w:val="false"/>
      <w:spacing w:beforeAutospacing="1" w:afterAutospacing="1"/>
      <w:textAlignment w:val="center"/>
    </w:pPr>
    <w:rPr>
      <w:rFonts w:ascii="Arial" w:hAnsi="Arial" w:cs="Arial"/>
      <w:b/>
      <w:bCs/>
      <w:lang w:val="en-GB" w:eastAsia="en-GB"/>
    </w:rPr>
  </w:style>
  <w:style w:type="paragraph" w:styleId="Xl151" w:customStyle="1">
    <w:name w:val="xl151"/>
    <w:basedOn w:val="Normal"/>
    <w:qFormat/>
    <w:rsid w:val="00ad4544"/>
    <w:pPr>
      <w:suppressAutoHyphens w:val="false"/>
      <w:spacing w:beforeAutospacing="1" w:afterAutospacing="1"/>
      <w:textAlignment w:val="center"/>
    </w:pPr>
    <w:rPr>
      <w:rFonts w:ascii="Arial" w:hAnsi="Arial" w:cs="Arial"/>
      <w:b/>
      <w:bCs/>
      <w:lang w:val="en-GB" w:eastAsia="en-GB"/>
    </w:rPr>
  </w:style>
  <w:style w:type="paragraph" w:styleId="Xl152" w:customStyle="1">
    <w:name w:val="xl152"/>
    <w:basedOn w:val="Normal"/>
    <w:qFormat/>
    <w:rsid w:val="00ad4544"/>
    <w:pPr>
      <w:pBdr>
        <w:bottom w:val="single" w:sz="8" w:space="0" w:color="000000"/>
      </w:pBdr>
      <w:suppressAutoHyphens w:val="false"/>
      <w:spacing w:beforeAutospacing="1" w:afterAutospacing="1"/>
      <w:jc w:val="center"/>
      <w:textAlignment w:val="center"/>
    </w:pPr>
    <w:rPr>
      <w:rFonts w:ascii="Arial" w:hAnsi="Arial" w:cs="Arial"/>
      <w:b/>
      <w:bCs/>
      <w:lang w:val="en-GB" w:eastAsia="en-GB"/>
    </w:rPr>
  </w:style>
  <w:style w:type="paragraph" w:styleId="Xl153" w:customStyle="1">
    <w:name w:val="xl153"/>
    <w:basedOn w:val="Normal"/>
    <w:qFormat/>
    <w:rsid w:val="00ad4544"/>
    <w:pPr>
      <w:pBdr>
        <w:top w:val="single" w:sz="8" w:space="0" w:color="000000"/>
        <w:left w:val="single" w:sz="8" w:space="0" w:color="000000"/>
        <w:bottom w:val="single" w:sz="8" w:space="0" w:color="000000"/>
      </w:pBdr>
      <w:suppressAutoHyphens w:val="false"/>
      <w:spacing w:beforeAutospacing="1" w:afterAutospacing="1"/>
      <w:jc w:val="center"/>
      <w:textAlignment w:val="center"/>
    </w:pPr>
    <w:rPr>
      <w:rFonts w:ascii="Arial" w:hAnsi="Arial" w:cs="Arial"/>
      <w:b/>
      <w:bCs/>
      <w:lang w:val="en-GB" w:eastAsia="en-GB"/>
    </w:rPr>
  </w:style>
  <w:style w:type="paragraph" w:styleId="Xl154" w:customStyle="1">
    <w:name w:val="xl154"/>
    <w:basedOn w:val="Normal"/>
    <w:qFormat/>
    <w:rsid w:val="00ad4544"/>
    <w:pPr>
      <w:pBdr>
        <w:bottom w:val="single" w:sz="8" w:space="0" w:color="000000"/>
        <w:right w:val="single" w:sz="8" w:space="0" w:color="000000"/>
      </w:pBdr>
      <w:suppressAutoHyphens w:val="false"/>
      <w:spacing w:beforeAutospacing="1" w:afterAutospacing="1"/>
      <w:jc w:val="center"/>
      <w:textAlignment w:val="center"/>
    </w:pPr>
    <w:rPr>
      <w:rFonts w:ascii="Arial" w:hAnsi="Arial" w:cs="Arial"/>
      <w:b/>
      <w:bCs/>
      <w:lang w:val="en-GB" w:eastAsia="en-GB"/>
    </w:rPr>
  </w:style>
  <w:style w:type="paragraph" w:styleId="Xl155" w:customStyle="1">
    <w:name w:val="xl155"/>
    <w:basedOn w:val="Normal"/>
    <w:qFormat/>
    <w:rsid w:val="00ad4544"/>
    <w:pPr>
      <w:pBdr>
        <w:left w:val="single" w:sz="4" w:space="0" w:color="FFFFFF"/>
        <w:bottom w:val="single" w:sz="4" w:space="0" w:color="000000"/>
      </w:pBdr>
      <w:shd w:val="clear" w:color="000000" w:fill="FFCC00"/>
      <w:suppressAutoHyphens w:val="false"/>
      <w:spacing w:beforeAutospacing="1" w:afterAutospacing="1"/>
      <w:jc w:val="center"/>
      <w:textAlignment w:val="center"/>
    </w:pPr>
    <w:rPr>
      <w:rFonts w:ascii="Arial" w:hAnsi="Arial" w:cs="Arial"/>
      <w:b/>
      <w:bCs/>
      <w:lang w:val="en-GB" w:eastAsia="en-GB"/>
    </w:rPr>
  </w:style>
  <w:style w:type="paragraph" w:styleId="Xl156" w:customStyle="1">
    <w:name w:val="xl156"/>
    <w:basedOn w:val="Normal"/>
    <w:qFormat/>
    <w:rsid w:val="00ad4544"/>
    <w:pPr>
      <w:pBdr>
        <w:bottom w:val="single" w:sz="4" w:space="0" w:color="000000"/>
      </w:pBdr>
      <w:shd w:val="clear" w:color="000000" w:fill="FFCC00"/>
      <w:suppressAutoHyphens w:val="false"/>
      <w:spacing w:beforeAutospacing="1" w:afterAutospacing="1"/>
      <w:jc w:val="center"/>
      <w:textAlignment w:val="center"/>
    </w:pPr>
    <w:rPr>
      <w:rFonts w:ascii="Arial" w:hAnsi="Arial" w:cs="Arial"/>
      <w:b/>
      <w:bCs/>
      <w:lang w:val="en-GB" w:eastAsia="en-GB"/>
    </w:rPr>
  </w:style>
  <w:style w:type="paragraph" w:styleId="Xl157" w:customStyle="1">
    <w:name w:val="xl157"/>
    <w:basedOn w:val="Normal"/>
    <w:qFormat/>
    <w:rsid w:val="00ad4544"/>
    <w:pPr>
      <w:pBdr>
        <w:bottom w:val="single" w:sz="4" w:space="0" w:color="000000"/>
        <w:right w:val="single" w:sz="4" w:space="0" w:color="FFFFFF"/>
      </w:pBdr>
      <w:shd w:val="clear" w:color="000000" w:fill="FFCC00"/>
      <w:suppressAutoHyphens w:val="false"/>
      <w:spacing w:beforeAutospacing="1" w:afterAutospacing="1"/>
      <w:jc w:val="center"/>
      <w:textAlignment w:val="center"/>
    </w:pPr>
    <w:rPr>
      <w:rFonts w:ascii="Arial" w:hAnsi="Arial" w:cs="Arial"/>
      <w:b/>
      <w:bCs/>
      <w:lang w:val="en-GB" w:eastAsia="en-GB"/>
    </w:rPr>
  </w:style>
  <w:style w:type="paragraph" w:styleId="118" w:customStyle="1">
    <w:name w:val="Знак Знак1"/>
    <w:basedOn w:val="Normal"/>
    <w:qFormat/>
    <w:rsid w:val="00ad4544"/>
    <w:pPr>
      <w:suppressAutoHyphens w:val="false"/>
    </w:pPr>
    <w:rPr>
      <w:rFonts w:ascii="Verdana" w:hAnsi="Verdana"/>
      <w:sz w:val="20"/>
      <w:szCs w:val="20"/>
      <w:lang w:val="en-US" w:eastAsia="en-US"/>
    </w:rPr>
  </w:style>
  <w:style w:type="paragraph" w:styleId="BodyTextIndent3">
    <w:name w:val="Body Text Indent 3"/>
    <w:basedOn w:val="Normal"/>
    <w:link w:val="33"/>
    <w:qFormat/>
    <w:rsid w:val="00ad4544"/>
    <w:pPr>
      <w:suppressAutoHyphens w:val="false"/>
      <w:ind w:left="4320" w:hanging="4320"/>
      <w:jc w:val="both"/>
    </w:pPr>
    <w:rPr>
      <w:sz w:val="22"/>
      <w:szCs w:val="22"/>
      <w:lang w:eastAsia="en-US"/>
    </w:rPr>
  </w:style>
  <w:style w:type="paragraph" w:styleId="BodyTextIndent2">
    <w:name w:val="Body Text Indent 2"/>
    <w:basedOn w:val="Normal"/>
    <w:link w:val="23"/>
    <w:qFormat/>
    <w:rsid w:val="00ad4544"/>
    <w:pPr>
      <w:suppressAutoHyphens w:val="false"/>
      <w:ind w:left="360" w:hanging="360"/>
      <w:jc w:val="both"/>
    </w:pPr>
    <w:rPr>
      <w:sz w:val="20"/>
      <w:szCs w:val="20"/>
      <w:lang w:val="en-US" w:eastAsia="en-US"/>
    </w:rPr>
  </w:style>
  <w:style w:type="paragraph" w:styleId="BodyText3">
    <w:name w:val="Body Text 3"/>
    <w:basedOn w:val="Normal"/>
    <w:link w:val="35"/>
    <w:qFormat/>
    <w:rsid w:val="00ad4544"/>
    <w:pPr>
      <w:suppressAutoHyphens w:val="false"/>
    </w:pPr>
    <w:rPr>
      <w:b/>
      <w:bCs/>
      <w:sz w:val="20"/>
      <w:szCs w:val="20"/>
      <w:lang w:eastAsia="en-US"/>
    </w:rPr>
  </w:style>
  <w:style w:type="paragraph" w:styleId="DocumentMap">
    <w:name w:val="Document Map"/>
    <w:basedOn w:val="Normal"/>
    <w:link w:val="afff"/>
    <w:semiHidden/>
    <w:qFormat/>
    <w:rsid w:val="00ad4544"/>
    <w:pPr>
      <w:shd w:val="clear" w:color="auto" w:fill="000080"/>
      <w:suppressAutoHyphens w:val="false"/>
    </w:pPr>
    <w:rPr>
      <w:rFonts w:ascii="Tahoma" w:hAnsi="Tahoma" w:cs="Tahoma"/>
      <w:lang w:eastAsia="ru-RU"/>
    </w:rPr>
  </w:style>
  <w:style w:type="paragraph" w:styleId="Xl27" w:customStyle="1">
    <w:name w:val="xl27"/>
    <w:basedOn w:val="Normal"/>
    <w:qFormat/>
    <w:rsid w:val="00ad4544"/>
    <w:pPr>
      <w:suppressAutoHyphens w:val="false"/>
      <w:spacing w:beforeAutospacing="1" w:afterAutospacing="1"/>
    </w:pPr>
    <w:rPr>
      <w:rFonts w:ascii="Arial" w:hAnsi="Arial" w:eastAsia="Arial Unicode MS"/>
      <w:sz w:val="16"/>
      <w:szCs w:val="16"/>
      <w:lang w:val="en-GB" w:eastAsia="en-US"/>
    </w:rPr>
  </w:style>
  <w:style w:type="paragraph" w:styleId="BodyText2">
    <w:name w:val="Body Text 2"/>
    <w:basedOn w:val="Normal"/>
    <w:link w:val="25"/>
    <w:qFormat/>
    <w:rsid w:val="00ad4544"/>
    <w:pPr>
      <w:suppressAutoHyphens w:val="false"/>
      <w:jc w:val="both"/>
    </w:pPr>
    <w:rPr>
      <w:sz w:val="22"/>
      <w:szCs w:val="22"/>
      <w:lang w:eastAsia="ru-RU"/>
    </w:rPr>
  </w:style>
  <w:style w:type="paragraph" w:styleId="Paragrapha" w:customStyle="1">
    <w:name w:val="Paragraph (a)"/>
    <w:basedOn w:val="Normal"/>
    <w:link w:val="ParagraphaChar"/>
    <w:qFormat/>
    <w:rsid w:val="00ad4544"/>
    <w:pPr>
      <w:tabs>
        <w:tab w:val="clear" w:pos="708"/>
        <w:tab w:val="left" w:pos="567" w:leader="none"/>
        <w:tab w:val="left" w:pos="1134" w:leader="none"/>
        <w:tab w:val="left" w:pos="1701" w:leader="none"/>
        <w:tab w:val="left" w:pos="2268" w:leader="none"/>
        <w:tab w:val="left" w:pos="2835" w:leader="none"/>
        <w:tab w:val="left" w:pos="3402" w:leader="none"/>
        <w:tab w:val="left" w:pos="3969" w:leader="none"/>
        <w:tab w:val="left" w:pos="4536" w:leader="none"/>
        <w:tab w:val="left" w:pos="5103" w:leader="none"/>
        <w:tab w:val="left" w:pos="5670" w:leader="none"/>
        <w:tab w:val="left" w:pos="6237" w:leader="none"/>
        <w:tab w:val="left" w:pos="6804" w:leader="none"/>
        <w:tab w:val="left" w:pos="7371" w:leader="none"/>
        <w:tab w:val="left" w:pos="7938" w:leader="none"/>
      </w:tabs>
      <w:suppressAutoHyphens w:val="false"/>
      <w:spacing w:before="240" w:after="0"/>
      <w:jc w:val="both"/>
    </w:pPr>
    <w:rPr>
      <w:szCs w:val="20"/>
      <w:lang w:val="en-GB" w:eastAsia="en-GB"/>
    </w:rPr>
  </w:style>
  <w:style w:type="paragraph" w:styleId="Indenta" w:customStyle="1">
    <w:name w:val="Indent (a)"/>
    <w:basedOn w:val="Normal"/>
    <w:qFormat/>
    <w:rsid w:val="00ad4544"/>
    <w:pPr>
      <w:tabs>
        <w:tab w:val="clear" w:pos="708"/>
        <w:tab w:val="left" w:pos="4320" w:leader="none"/>
      </w:tabs>
      <w:suppressAutoHyphens w:val="false"/>
      <w:ind w:left="3960" w:hanging="360"/>
      <w:jc w:val="both"/>
    </w:pPr>
    <w:rPr>
      <w:rFonts w:ascii="CG Times (WN)" w:hAnsi="CG Times (WN)"/>
      <w:szCs w:val="20"/>
      <w:lang w:val="en-GB" w:eastAsia="en-GB"/>
    </w:rPr>
  </w:style>
  <w:style w:type="paragraph" w:styleId="Paragraph1" w:customStyle="1">
    <w:name w:val="Paragraph (1)"/>
    <w:basedOn w:val="Normal"/>
    <w:link w:val="Paragraph1Char"/>
    <w:qFormat/>
    <w:rsid w:val="00ad4544"/>
    <w:pPr>
      <w:tabs>
        <w:tab w:val="clear" w:pos="708"/>
        <w:tab w:val="left" w:pos="1134" w:leader="none"/>
        <w:tab w:val="left" w:pos="1701" w:leader="none"/>
        <w:tab w:val="left" w:pos="2268" w:leader="none"/>
        <w:tab w:val="left" w:pos="2835" w:leader="none"/>
        <w:tab w:val="left" w:pos="3402" w:leader="none"/>
        <w:tab w:val="left" w:pos="3969" w:leader="none"/>
        <w:tab w:val="left" w:pos="4536" w:leader="none"/>
        <w:tab w:val="left" w:pos="5103" w:leader="none"/>
        <w:tab w:val="left" w:pos="5670" w:leader="none"/>
        <w:tab w:val="left" w:pos="6237" w:leader="none"/>
        <w:tab w:val="left" w:pos="6804" w:leader="none"/>
        <w:tab w:val="left" w:pos="7371" w:leader="none"/>
        <w:tab w:val="left" w:pos="7938" w:leader="none"/>
      </w:tabs>
      <w:suppressAutoHyphens w:val="false"/>
      <w:spacing w:before="240" w:after="0"/>
      <w:ind w:left="567" w:hanging="0"/>
      <w:jc w:val="both"/>
    </w:pPr>
    <w:rPr>
      <w:szCs w:val="20"/>
      <w:lang w:val="en-GB" w:eastAsia="en-GB"/>
    </w:rPr>
  </w:style>
  <w:style w:type="paragraph" w:styleId="1KGK9" w:customStyle="1">
    <w:name w:val="1KG=K9"/>
    <w:qFormat/>
    <w:rsid w:val="00ad4544"/>
    <w:pPr>
      <w:widowControl/>
      <w:bidi w:val="0"/>
      <w:jc w:val="left"/>
    </w:pPr>
    <w:rPr>
      <w:rFonts w:ascii="Arial" w:hAnsi="Arial" w:eastAsia="Times New Roman" w:cs="Times New Roman"/>
      <w:color w:val="auto"/>
      <w:kern w:val="0"/>
      <w:sz w:val="24"/>
      <w:szCs w:val="24"/>
      <w:lang w:val="ru-RU" w:eastAsia="ru-RU" w:bidi="ar-SA"/>
    </w:rPr>
  </w:style>
  <w:style w:type="paragraph" w:styleId="Style43" w:customStyle="1">
    <w:name w:val="Знак Знак"/>
    <w:basedOn w:val="Normal"/>
    <w:qFormat/>
    <w:rsid w:val="00ad4544"/>
    <w:pPr>
      <w:suppressAutoHyphens w:val="false"/>
    </w:pPr>
    <w:rPr>
      <w:rFonts w:ascii="Verdana" w:hAnsi="Verdana"/>
      <w:sz w:val="20"/>
      <w:szCs w:val="20"/>
      <w:lang w:val="en-US" w:eastAsia="en-US"/>
    </w:rPr>
  </w:style>
  <w:style w:type="paragraph" w:styleId="Style44" w:customStyle="1">
    <w:name w:val="Знак Знак Знак Знак"/>
    <w:basedOn w:val="Normal"/>
    <w:qFormat/>
    <w:rsid w:val="00ad4544"/>
    <w:pPr>
      <w:suppressAutoHyphens w:val="false"/>
    </w:pPr>
    <w:rPr>
      <w:rFonts w:ascii="Verdana" w:hAnsi="Verdana"/>
      <w:sz w:val="20"/>
      <w:szCs w:val="20"/>
      <w:lang w:val="en-US" w:eastAsia="en-US"/>
    </w:rPr>
  </w:style>
  <w:style w:type="paragraph" w:styleId="Style45" w:customStyle="1">
    <w:name w:val="Знак Знак Знак Знак Знак Знак Знак"/>
    <w:basedOn w:val="Normal"/>
    <w:qFormat/>
    <w:rsid w:val="00ad4544"/>
    <w:pPr>
      <w:suppressAutoHyphens w:val="false"/>
    </w:pPr>
    <w:rPr>
      <w:rFonts w:ascii="Verdana" w:hAnsi="Verdana"/>
      <w:sz w:val="20"/>
      <w:szCs w:val="20"/>
      <w:lang w:val="en-US" w:eastAsia="en-US"/>
    </w:rPr>
  </w:style>
  <w:style w:type="paragraph" w:styleId="CharChar1CharCharCharCharCharCharCharCharCharCharCharCharCharCharChar" w:customStyle="1">
    <w:name w:val="Char Char1 Char Char Char Char Char Char Char Char Char Char Char Char Char Char Знак Char"/>
    <w:basedOn w:val="Normal"/>
    <w:qFormat/>
    <w:rsid w:val="00ad4544"/>
    <w:pPr>
      <w:suppressAutoHyphens w:val="false"/>
      <w:spacing w:lineRule="exact" w:line="240" w:before="0" w:after="160"/>
    </w:pPr>
    <w:rPr>
      <w:rFonts w:ascii="Arial" w:hAnsi="Arial" w:cs="Arial"/>
      <w:b/>
      <w:sz w:val="20"/>
      <w:szCs w:val="20"/>
      <w:lang w:val="en-US" w:eastAsia="de-DE"/>
    </w:rPr>
  </w:style>
  <w:style w:type="paragraph" w:styleId="Style46" w:customStyle="1">
    <w:name w:val="Знак"/>
    <w:basedOn w:val="Normal"/>
    <w:qFormat/>
    <w:rsid w:val="00ad4544"/>
    <w:pPr>
      <w:suppressAutoHyphens w:val="false"/>
    </w:pPr>
    <w:rPr>
      <w:rFonts w:ascii="Verdana" w:hAnsi="Verdana"/>
      <w:sz w:val="20"/>
      <w:szCs w:val="20"/>
      <w:lang w:val="en-US" w:eastAsia="en-US"/>
    </w:rPr>
  </w:style>
  <w:style w:type="paragraph" w:styleId="119" w:customStyle="1">
    <w:name w:val="1"/>
    <w:basedOn w:val="Normal"/>
    <w:qFormat/>
    <w:rsid w:val="00ad4544"/>
    <w:pPr>
      <w:suppressAutoHyphens w:val="false"/>
    </w:pPr>
    <w:rPr>
      <w:lang w:eastAsia="ru-RU"/>
    </w:rPr>
  </w:style>
  <w:style w:type="paragraph" w:styleId="CharChar" w:customStyle="1">
    <w:name w:val="Char Char"/>
    <w:basedOn w:val="Normal"/>
    <w:qFormat/>
    <w:rsid w:val="00ad4544"/>
    <w:pPr>
      <w:suppressAutoHyphens w:val="false"/>
      <w:spacing w:lineRule="exact" w:line="240" w:before="0" w:after="160"/>
    </w:pPr>
    <w:rPr>
      <w:rFonts w:ascii="Arial" w:hAnsi="Arial" w:cs="Arial"/>
      <w:b/>
      <w:sz w:val="20"/>
      <w:szCs w:val="20"/>
      <w:lang w:val="en-US" w:eastAsia="de-DE"/>
    </w:rPr>
  </w:style>
  <w:style w:type="paragraph" w:styleId="ParagraphA1" w:customStyle="1">
    <w:name w:val="Paragraph (A)"/>
    <w:basedOn w:val="Normal"/>
    <w:qFormat/>
    <w:rsid w:val="00ad4544"/>
    <w:pPr>
      <w:tabs>
        <w:tab w:val="clear" w:pos="708"/>
        <w:tab w:val="left" w:pos="1701" w:leader="none"/>
        <w:tab w:val="left" w:pos="2268" w:leader="none"/>
        <w:tab w:val="left" w:pos="2835" w:leader="none"/>
        <w:tab w:val="left" w:pos="3402" w:leader="none"/>
        <w:tab w:val="left" w:pos="3969" w:leader="none"/>
        <w:tab w:val="left" w:pos="4536" w:leader="none"/>
        <w:tab w:val="left" w:pos="5103" w:leader="none"/>
        <w:tab w:val="left" w:pos="5670" w:leader="none"/>
        <w:tab w:val="left" w:pos="6237" w:leader="none"/>
        <w:tab w:val="left" w:pos="6804" w:leader="none"/>
        <w:tab w:val="left" w:pos="7371" w:leader="none"/>
        <w:tab w:val="left" w:pos="7938" w:leader="none"/>
      </w:tabs>
      <w:suppressAutoHyphens w:val="false"/>
      <w:spacing w:before="240" w:after="0"/>
      <w:ind w:left="1134" w:hanging="0"/>
      <w:jc w:val="both"/>
    </w:pPr>
    <w:rPr>
      <w:szCs w:val="20"/>
      <w:lang w:val="en-GB" w:eastAsia="en-GB"/>
    </w:rPr>
  </w:style>
  <w:style w:type="paragraph" w:styleId="7">
    <w:name w:val="TOC 7"/>
    <w:basedOn w:val="Normal"/>
    <w:next w:val="Normal"/>
    <w:autoRedefine/>
    <w:rsid w:val="00ad4544"/>
    <w:pPr>
      <w:suppressAutoHyphens w:val="false"/>
      <w:ind w:left="1440" w:hanging="0"/>
      <w:jc w:val="both"/>
    </w:pPr>
    <w:rPr>
      <w:szCs w:val="20"/>
      <w:lang w:val="en-GB" w:eastAsia="en-GB"/>
    </w:rPr>
  </w:style>
  <w:style w:type="paragraph" w:styleId="92">
    <w:name w:val="TOC 9"/>
    <w:basedOn w:val="Normal"/>
    <w:next w:val="Normal"/>
    <w:autoRedefine/>
    <w:rsid w:val="00ad4544"/>
    <w:pPr>
      <w:suppressAutoHyphens w:val="false"/>
      <w:ind w:left="1920" w:hanging="0"/>
      <w:jc w:val="both"/>
    </w:pPr>
    <w:rPr>
      <w:szCs w:val="20"/>
      <w:lang w:val="en-GB" w:eastAsia="en-GB"/>
    </w:rPr>
  </w:style>
  <w:style w:type="paragraph" w:styleId="TableTextLeft" w:customStyle="1">
    <w:name w:val="~TableTextLeft"/>
    <w:basedOn w:val="Normal"/>
    <w:link w:val="TableTextLeftChar"/>
    <w:qFormat/>
    <w:rsid w:val="00ad4544"/>
    <w:pPr>
      <w:suppressAutoHyphens w:val="false"/>
      <w:spacing w:before="40" w:after="40"/>
    </w:pPr>
    <w:rPr>
      <w:rFonts w:ascii="Yu Mincho" w:hAnsi="Yu Mincho" w:eastAsia="MS Mincho"/>
      <w:sz w:val="16"/>
      <w:szCs w:val="16"/>
      <w:lang w:val="uk-UA" w:eastAsia="uk-UA"/>
    </w:rPr>
  </w:style>
  <w:style w:type="paragraph" w:styleId="TableParagraph" w:customStyle="1">
    <w:name w:val="Table Paragraph"/>
    <w:basedOn w:val="Normal"/>
    <w:uiPriority w:val="1"/>
    <w:qFormat/>
    <w:rsid w:val="00ad4544"/>
    <w:pPr>
      <w:widowControl w:val="false"/>
      <w:suppressAutoHyphens w:val="false"/>
    </w:pPr>
    <w:rPr>
      <w:rFonts w:ascii="Calibri" w:hAnsi="Calibri" w:eastAsia="Calibri" w:cs="Calibri"/>
      <w:sz w:val="22"/>
      <w:szCs w:val="22"/>
      <w:lang w:val="uk-UA" w:eastAsia="uk-UA" w:bidi="uk-UA"/>
    </w:rPr>
  </w:style>
  <w:style w:type="numbering" w:styleId="NoList" w:default="1">
    <w:name w:val="No List"/>
    <w:uiPriority w:val="99"/>
    <w:semiHidden/>
    <w:unhideWhenUsed/>
    <w:qFormat/>
  </w:style>
  <w:style w:type="numbering" w:styleId="CurrentList1" w:customStyle="1">
    <w:name w:val="Current List1"/>
    <w:uiPriority w:val="99"/>
    <w:qFormat/>
    <w:rsid w:val="00ad4544"/>
  </w:style>
  <w:style w:type="numbering" w:styleId="NoList1" w:customStyle="1">
    <w:name w:val="No List1"/>
    <w:uiPriority w:val="99"/>
    <w:semiHidden/>
    <w:unhideWhenUsed/>
    <w:qFormat/>
    <w:rsid w:val="00ad4544"/>
  </w:style>
  <w:style w:type="table" w:default="1" w:styleId="a1">
    <w:name w:val="Normal Table"/>
    <w:uiPriority w:val="99"/>
    <w:semiHidden/>
    <w:unhideWhenUsed/>
    <w:tblPr>
      <w:tblInd w:w="0" w:type="dxa"/>
      <w:tblCellMar>
        <w:top w:w="0" w:type="dxa"/>
        <w:left w:w="108" w:type="dxa"/>
        <w:bottom w:w="0" w:type="dxa"/>
        <w:right w:w="108" w:type="dxa"/>
      </w:tblCellMar>
    </w:tblPr>
  </w:style>
  <w:style w:type="table" w:styleId="afe">
    <w:name w:val="Table Grid"/>
    <w:basedOn w:val="a1"/>
    <w:uiPriority w:val="39"/>
    <w:rsid w:val="00ad4544"/>
    <w:rPr>
      <w:rFonts w:asciiTheme="minorHAnsi" w:hAnsiTheme="minorHAnsi" w:eastAsiaTheme="minorHAnsi" w:cstheme="minorBidi"/>
      <w:lang w:val="en-GB"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f">
    <w:name w:val="Сетка таблицы светлая1"/>
    <w:basedOn w:val="a1"/>
    <w:uiPriority w:val="40"/>
    <w:rsid w:val="00ad4544"/>
    <w:rPr>
      <w:rFonts w:asciiTheme="minorHAnsi" w:hAnsiTheme="minorHAnsi" w:eastAsiaTheme="minorHAnsi" w:cstheme="minorBidi"/>
      <w:lang w:val="en-GB" w:eastAsia="en-US"/>
      <w:sz w:val="22"/>
      <w:szCs w:val="22"/>
    </w:r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Style1">
    <w:name w:val="Style1"/>
    <w:basedOn w:val="a1"/>
    <w:uiPriority w:val="99"/>
    <w:rsid w:val="00ad4544"/>
    <w:rPr>
      <w:rFonts w:eastAsiaTheme="minorHAnsi" w:cstheme="minorBidi"/>
      <w:lang w:val="en-GB" w:eastAsia="en-US"/>
      <w:color w:val="0D0D0D" w:themeColor="text1" w:themeTint="f2"/>
      <w:sz w:val="22"/>
      <w:szCs w:val="22"/>
    </w:rPr>
    <w:tblPr>
      <w:tblStyleRowBandSize w:val="1"/>
      <w:tblBorders>
        <w:top w:val="single" w:color="0D0D0D" w:themeColor="text1" w:themeTint="f2" w:sz="4" w:space="0"/>
        <w:left w:val="single" w:color="0D0D0D" w:themeColor="text1" w:themeTint="f2" w:sz="4" w:space="0"/>
        <w:bottom w:val="single" w:color="0D0D0D" w:themeColor="text1" w:themeTint="f2" w:sz="4" w:space="0"/>
        <w:right w:val="single" w:color="0D0D0D" w:themeColor="text1" w:themeTint="f2" w:sz="4" w:space="0"/>
        <w:insideH w:val="single" w:color="0D0D0D" w:themeColor="text1" w:themeTint="f2" w:sz="4" w:space="0"/>
        <w:insideV w:val="single" w:color="0D0D0D" w:themeColor="text1" w:themeTint="f2" w:sz="4" w:space="0"/>
      </w:tblBorders>
    </w:tblPr>
    <w:tblStylePr w:type="firstRow">
      <w:rPr>
        <w:b/>
        <w:color w:val="FFFFFF" w:themeColor="background1"/>
        <w:sz w:val="22"/>
      </w:rPr>
      <w:tblPr/>
      <w:tcPr>
        <w:shd w:val="clear" w:color="auto" w:fill="A6005C"/>
      </w:tcPr>
    </w:tblStylePr>
    <w:tblStylePr w:type="band1Horz">
      <w:pPr>
        <w:jc w:val="left"/>
      </w:pPr>
      <w:rPr>
        <w:sz w:val="22"/>
      </w:rPr>
      <w:tblPr/>
      <w:tcPr>
        <w:vAlign w:val="center"/>
      </w:tcPr>
    </w:tblStylePr>
    <w:tblStylePr w:type="band2Horz">
      <w:pPr>
        <w:jc w:val="left"/>
      </w:pPr>
      <w:rPr>
        <w:sz w:val="22"/>
      </w:rPr>
      <w:tblPr/>
      <w:tcPr>
        <w:vAlign w:val="center"/>
      </w:tcPr>
    </w:tblStylePr>
  </w:style>
  <w:style w:type="table" w:customStyle="1" w:styleId="1f0">
    <w:name w:val="Сетка таблицы1"/>
    <w:basedOn w:val="a1"/>
    <w:uiPriority w:val="59"/>
    <w:rsid w:val="00ad4544"/>
    <w:rPr>
      <w:lang w:val="en-US"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
    <w:name w:val="Таблица-сетка 3 — акцент 11"/>
    <w:basedOn w:val="a1"/>
    <w:uiPriority w:val="48"/>
    <w:rsid w:val="00ad4544"/>
    <w:rPr>
      <w:rFonts w:asciiTheme="minorHAnsi" w:hAnsiTheme="minorHAnsi" w:eastAsiaTheme="minorHAnsi" w:cstheme="minorBidi"/>
      <w:lang w:val="en-GB" w:eastAsia="en-US"/>
      <w:sz w:val="22"/>
      <w:szCs w:val="22"/>
    </w:r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color="8EAADB" w:themeColor="accent1" w:sz="4" w:space="0"/>
        </w:tcBorders>
      </w:tcPr>
    </w:tblStylePr>
    <w:tblStylePr w:type="nwCell">
      <w:tblPr/>
      <w:tcPr>
        <w:tcBorders>
          <w:bottom w:val="single" w:color="8EAADB" w:themeColor="accent1" w:sz="4" w:space="0"/>
        </w:tcBorders>
      </w:tcPr>
    </w:tblStylePr>
    <w:tblStylePr w:type="seCell">
      <w:tblPr/>
      <w:tcPr>
        <w:tcBorders>
          <w:top w:val="single" w:color="8EAADB" w:themeColor="accent1" w:sz="4" w:space="0"/>
        </w:tcBorders>
      </w:tcPr>
    </w:tblStylePr>
    <w:tblStylePr w:type="swCell">
      <w:tblPr/>
      <w:tcPr>
        <w:tcBorders>
          <w:top w:val="single" w:color="8EAADB" w:themeColor="accent1" w:sz="4" w:space="0"/>
        </w:tcBorders>
      </w:tcPr>
    </w:tblStylePr>
  </w:style>
  <w:style w:type="table" w:customStyle="1" w:styleId="-511">
    <w:name w:val="Таблица-сетка 5 темная — акцент 11"/>
    <w:basedOn w:val="a1"/>
    <w:uiPriority w:val="50"/>
    <w:rsid w:val="00ad4544"/>
    <w:rPr>
      <w:rFonts w:asciiTheme="minorHAnsi" w:hAnsiTheme="minorHAnsi" w:eastAsiaTheme="minorHAnsi" w:cstheme="minorBidi"/>
      <w:lang w:val="en-GB" w:eastAsia="en-US"/>
      <w:sz w:val="22"/>
      <w:szCs w:val="22"/>
    </w:r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ad4544"/>
    <w:rPr>
      <w:rFonts w:asciiTheme="minorHAnsi" w:hAnsiTheme="minorHAnsi" w:eastAsiaTheme="minorHAnsi" w:cstheme="minorBidi"/>
      <w:lang w:val="en-GB" w:eastAsia="en-US"/>
      <w:sz w:val="22"/>
      <w:szCs w:val="22"/>
    </w:r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Pr/>
    </w:tblStylePr>
    <w:tblStylePr w:type="lastCol">
      <w:rPr>
        <w:b/>
        <w:bCs/>
      </w:rPr>
      <w:tbl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Light1">
    <w:name w:val="Table Grid Light1"/>
    <w:basedOn w:val="a1"/>
    <w:uiPriority w:val="40"/>
    <w:rsid w:val="00ad4544"/>
    <w:rPr>
      <w:rFonts w:asciiTheme="minorHAnsi" w:hAnsiTheme="minorHAnsi" w:eastAsiaTheme="minorHAnsi" w:cstheme="minorBidi"/>
      <w:lang w:val="en-GB" w:eastAsia="en-US"/>
      <w:sz w:val="22"/>
      <w:szCs w:val="22"/>
    </w:r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1f3">
    <w:name w:val="Сетка таблицы светлая1"/>
    <w:basedOn w:val="a1"/>
    <w:uiPriority w:val="40"/>
    <w:rsid w:val="00ad4544"/>
    <w:rPr>
      <w:rFonts w:asciiTheme="minorHAnsi" w:hAnsiTheme="minorHAnsi" w:eastAsiaTheme="minorHAnsi" w:cstheme="minorBidi"/>
      <w:lang w:val="en-GB" w:eastAsia="en-US"/>
      <w:sz w:val="22"/>
      <w:szCs w:val="22"/>
    </w:r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331">
    <w:name w:val="Список-таблица 3 — акцент 31"/>
    <w:basedOn w:val="a1"/>
    <w:uiPriority w:val="48"/>
    <w:rsid w:val="00ad4544"/>
    <w:rPr>
      <w:rFonts w:asciiTheme="minorHAnsi" w:hAnsiTheme="minorHAnsi" w:eastAsiaTheme="minorHAnsi" w:cstheme="minorBidi"/>
      <w:lang w:val="en-GB" w:eastAsia="en-US"/>
      <w:sz w:val="22"/>
      <w:szCs w:val="22"/>
    </w:rPr>
    <w:tblPr>
      <w:tblStyleRowBandSize w:val="1"/>
      <w:tblStyleColBandSize w:val="1"/>
      <w:tblBorders>
        <w:top w:val="single" w:color="A5A5A5" w:themeColor="accent3" w:sz="4" w:space="0"/>
        <w:left w:val="single" w:color="A5A5A5" w:themeColor="accent3" w:sz="4" w:space="0"/>
        <w:bottom w:val="single" w:color="A5A5A5" w:themeColor="accent3" w:sz="4" w:space="0"/>
        <w:right w:val="single" w:color="A5A5A5" w:themeColor="accent3" w:sz="4" w:space="0"/>
      </w:tblBorders>
    </w:tblPr>
    <w:tblStylePr w:type="firstRow">
      <w:rPr>
        <w:b/>
        <w:bCs/>
        <w:color w:val="FFFFFF" w:themeColor="background1"/>
      </w:rPr>
      <w:tblPr/>
      <w:tcPr>
        <w:shd w:val="clear" w:color="auto" w:fill="A5A5A5" w:themeFill="accent3"/>
      </w:tcPr>
    </w:tblStylePr>
    <w:tblStylePr w:type="lastRow">
      <w:rPr>
        <w:b/>
        <w:bCs/>
      </w:rPr>
      <w:tblPr/>
      <w:tcPr>
        <w:tcBorders>
          <w:top w:val="double" w:color="A5A5A5"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5A5A5" w:themeColor="accent3" w:sz="4" w:space="0"/>
          <w:right w:val="single" w:color="A5A5A5" w:themeColor="accent3" w:sz="4" w:space="0"/>
        </w:tcBorders>
      </w:tcPr>
    </w:tblStylePr>
    <w:tblStylePr w:type="band1Horz">
      <w:tblPr/>
      <w:tcPr>
        <w:tcBorders>
          <w:top w:val="single" w:color="A5A5A5" w:themeColor="accent3" w:sz="4" w:space="0"/>
          <w:bottom w:val="single" w:color="A5A5A5"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5A5A5" w:themeColor="accent3" w:sz="4" w:space="0"/>
          <w:left w:val="nil"/>
        </w:tcBorders>
      </w:tcPr>
    </w:tblStylePr>
    <w:tblStylePr w:type="swCell">
      <w:tblPr/>
      <w:tcPr>
        <w:tcBorders>
          <w:top w:val="double" w:color="A5A5A5" w:themeColor="accent3" w:sz="4" w:space="0"/>
          <w:right w:val="nil"/>
        </w:tcBorders>
      </w:tcPr>
    </w:tblStylePr>
  </w:style>
  <w:style w:type="table" w:customStyle="1" w:styleId="-321">
    <w:name w:val="Список-таблица 3 — акцент 21"/>
    <w:basedOn w:val="a1"/>
    <w:uiPriority w:val="48"/>
    <w:rsid w:val="00ad4544"/>
    <w:rPr>
      <w:rFonts w:asciiTheme="minorHAnsi" w:hAnsiTheme="minorHAnsi" w:eastAsiaTheme="minorHAnsi" w:cstheme="minorBidi"/>
      <w:lang w:val="en-GB" w:eastAsia="en-US"/>
      <w:sz w:val="22"/>
      <w:szCs w:val="22"/>
    </w:rPr>
    <w:tblPr>
      <w:tblStyleRowBandSize w:val="1"/>
      <w:tblStyleColBandSize w:val="1"/>
      <w:tblBorders>
        <w:top w:val="single" w:color="ED7D31" w:themeColor="accent2" w:sz="4" w:space="0"/>
        <w:left w:val="single" w:color="ED7D31" w:themeColor="accent2" w:sz="4" w:space="0"/>
        <w:bottom w:val="single" w:color="ED7D31" w:themeColor="accent2" w:sz="4" w:space="0"/>
        <w:right w:val="single" w:color="ED7D31" w:themeColor="accent2" w:sz="4" w:space="0"/>
      </w:tblBorders>
    </w:tblPr>
    <w:tblStylePr w:type="firstRow">
      <w:rPr>
        <w:b/>
        <w:bCs/>
        <w:color w:val="FFFFFF" w:themeColor="background1"/>
      </w:rPr>
      <w:tblPr/>
      <w:tcPr>
        <w:shd w:val="clear" w:color="auto" w:fill="ED7D31" w:themeFill="accent2"/>
      </w:tcPr>
    </w:tblStylePr>
    <w:tblStylePr w:type="lastRow">
      <w:rPr>
        <w:b/>
        <w:bCs/>
      </w:rPr>
      <w:tblPr/>
      <w:tcPr>
        <w:tcBorders>
          <w:top w:val="double" w:color="ED7D31" w:themeColor="accent2"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ED7D31" w:themeColor="accent2" w:sz="4" w:space="0"/>
          <w:right w:val="single" w:color="ED7D31" w:themeColor="accent2" w:sz="4" w:space="0"/>
        </w:tcBorders>
      </w:tcPr>
    </w:tblStylePr>
    <w:tblStylePr w:type="band1Horz">
      <w:tblPr/>
      <w:tcPr>
        <w:tcBorders>
          <w:top w:val="single" w:color="ED7D31" w:themeColor="accent2" w:sz="4" w:space="0"/>
          <w:bottom w:val="single" w:color="ED7D31" w:themeColor="accent2"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ED7D31" w:themeColor="accent2" w:sz="4" w:space="0"/>
          <w:left w:val="nil"/>
        </w:tcBorders>
      </w:tcPr>
    </w:tblStylePr>
    <w:tblStylePr w:type="swCell">
      <w:tblPr/>
      <w:tcPr>
        <w:tcBorders>
          <w:top w:val="double" w:color="ED7D31" w:themeColor="accent2" w:sz="4" w:space="0"/>
          <w:right w:val="nil"/>
        </w:tcBorders>
      </w:tcPr>
    </w:tblStylePr>
  </w:style>
  <w:style w:type="table" w:customStyle="1" w:styleId="-3110">
    <w:name w:val="Список-таблица 3 — акцент 11"/>
    <w:basedOn w:val="a1"/>
    <w:uiPriority w:val="48"/>
    <w:rsid w:val="00ad4544"/>
    <w:rPr>
      <w:rFonts w:asciiTheme="minorHAnsi" w:hAnsiTheme="minorHAnsi" w:eastAsiaTheme="minorHAnsi" w:cstheme="minorBidi"/>
      <w:lang w:val="en-GB" w:eastAsia="en-US"/>
      <w:sz w:val="22"/>
      <w:szCs w:val="22"/>
    </w:rPr>
    <w:tblPr>
      <w:tblStyleRowBandSize w:val="1"/>
      <w:tblStyleColBandSize w:val="1"/>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blStylePr w:type="firstRow">
      <w:rPr>
        <w:b/>
        <w:bCs/>
        <w:color w:val="FFFFFF" w:themeColor="background1"/>
      </w:rPr>
      <w:tblPr/>
      <w:tcPr>
        <w:shd w:val="clear" w:color="auto" w:fill="4472C4" w:themeFill="accent1"/>
      </w:tcPr>
    </w:tblStylePr>
    <w:tblStylePr w:type="lastRow">
      <w:rPr>
        <w:b/>
        <w:bCs/>
      </w:rPr>
      <w:tblPr/>
      <w:tcPr>
        <w:tcBorders>
          <w:top w:val="double" w:color="4472C4"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4472C4" w:themeColor="accent1" w:sz="4" w:space="0"/>
          <w:right w:val="single" w:color="4472C4" w:themeColor="accent1" w:sz="4" w:space="0"/>
        </w:tcBorders>
      </w:tcPr>
    </w:tblStylePr>
    <w:tblStylePr w:type="band1Horz">
      <w:tblPr/>
      <w:tcPr>
        <w:tcBorders>
          <w:top w:val="single" w:color="4472C4" w:themeColor="accent1" w:sz="4" w:space="0"/>
          <w:bottom w:val="single" w:color="4472C4"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4472C4" w:themeColor="accent1" w:sz="4" w:space="0"/>
          <w:left w:val="nil"/>
        </w:tcBorders>
      </w:tcPr>
    </w:tblStylePr>
    <w:tblStylePr w:type="swCell">
      <w:tblPr/>
      <w:tcPr>
        <w:tcBorders>
          <w:top w:val="double" w:color="4472C4" w:themeColor="accent1" w:sz="4" w:space="0"/>
          <w:right w:val="nil"/>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footer" Target="footer1.xml"/><Relationship Id="rId4" Type="http://schemas.openxmlformats.org/officeDocument/2006/relationships/header" Target="header2.xml"/><Relationship Id="rId5" Type="http://schemas.openxmlformats.org/officeDocument/2006/relationships/footer" Target="footer2.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jpe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header" Target="header3.xml"/><Relationship Id="rId63" Type="http://schemas.openxmlformats.org/officeDocument/2006/relationships/footer" Target="footer3.xml"/><Relationship Id="rId64" Type="http://schemas.openxmlformats.org/officeDocument/2006/relationships/image" Target="media/image57.png"/><Relationship Id="rId65" Type="http://schemas.openxmlformats.org/officeDocument/2006/relationships/header" Target="header4.xml"/><Relationship Id="rId66" Type="http://schemas.openxmlformats.org/officeDocument/2006/relationships/footer" Target="footer4.xml"/><Relationship Id="rId67" Type="http://schemas.openxmlformats.org/officeDocument/2006/relationships/image" Target="media/image58.png"/><Relationship Id="rId68" Type="http://schemas.openxmlformats.org/officeDocument/2006/relationships/header" Target="header5.xml"/><Relationship Id="rId69" Type="http://schemas.openxmlformats.org/officeDocument/2006/relationships/footer" Target="footer5.xml"/><Relationship Id="rId70" Type="http://schemas.openxmlformats.org/officeDocument/2006/relationships/footnotes" Target="footnotes.xml"/><Relationship Id="rId71" Type="http://schemas.openxmlformats.org/officeDocument/2006/relationships/numbering" Target="numbering.xml"/><Relationship Id="rId72" Type="http://schemas.openxmlformats.org/officeDocument/2006/relationships/fontTable" Target="fontTable.xml"/><Relationship Id="rId73" Type="http://schemas.openxmlformats.org/officeDocument/2006/relationships/settings" Target="settings.xml"/><Relationship Id="rId74" Type="http://schemas.openxmlformats.org/officeDocument/2006/relationships/theme" Target="theme/theme1.xml"/><Relationship Id="rId75" Type="http://schemas.openxmlformats.org/officeDocument/2006/relationships/customXml" Target="../customXml/item1.xml"/><Relationship Id="rId76" Type="http://schemas.openxmlformats.org/officeDocument/2006/relationships/customXml" Target="../customXml/item2.xml"/><Relationship Id="rId77" Type="http://schemas.openxmlformats.org/officeDocument/2006/relationships/customXml" Target="../customXml/item3.xml"/><Relationship Id="rId78" Type="http://schemas.openxmlformats.org/officeDocument/2006/relationships/customXml" Target="../customXml/item4.xml"/>
</Relationships>
</file>

<file path=word/_rels/footnotes.xml.rels><?xml version="1.0" encoding="UTF-8"?>
<Relationships xmlns="http://schemas.openxmlformats.org/package/2006/relationships"><Relationship Id="rId1" Type="http://schemas.openxmlformats.org/officeDocument/2006/relationships/hyperlink" Target="https://www.saveecobot.com/maps/ternopil" TargetMode="External"/><Relationship Id="rId2" Type="http://schemas.openxmlformats.org/officeDocument/2006/relationships/hyperlink" Target="https://www.saveecobot.com/maps/ternopil" TargetMode="External"/>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8FC05E792CA8A24D988BEB648944A1FD" ma:contentTypeVersion="17" ma:contentTypeDescription="Создание документа." ma:contentTypeScope="" ma:versionID="6e3d2e4de2a21c1f9be73783b53373dc">
  <xsd:schema xmlns:xsd="http://www.w3.org/2001/XMLSchema" xmlns:xs="http://www.w3.org/2001/XMLSchema" xmlns:p="http://schemas.microsoft.com/office/2006/metadata/properties" xmlns:ns2="9f8770c1-6b6f-46d4-9d11-1acb2d2c4b96" xmlns:ns3="02065bdc-37a8-4a61-82f4-6015e759441b" targetNamespace="http://schemas.microsoft.com/office/2006/metadata/properties" ma:root="true" ma:fieldsID="297203e699a2c2a3ae3cd9f0015b7908" ns2:_="" ns3:_="">
    <xsd:import namespace="9f8770c1-6b6f-46d4-9d11-1acb2d2c4b96"/>
    <xsd:import namespace="02065bdc-37a8-4a61-82f4-6015e759441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8770c1-6b6f-46d4-9d11-1acb2d2c4b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Теги изображений" ma:readOnly="false" ma:fieldId="{5cf76f15-5ced-4ddc-b409-7134ff3c332f}" ma:taxonomyMulti="true" ma:sspId="eee4156a-bd21-4c7b-a1f8-42ed1300070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065bdc-37a8-4a61-82f4-6015e759441b" elementFormDefault="qualified">
    <xsd:import namespace="http://schemas.microsoft.com/office/2006/documentManagement/types"/>
    <xsd:import namespace="http://schemas.microsoft.com/office/infopath/2007/PartnerControls"/>
    <xsd:element name="SharedWithUsers" ma:index="10"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Совместно с подробностями" ma:internalName="SharedWithDetails" ma:readOnly="true">
      <xsd:simpleType>
        <xsd:restriction base="dms:Note">
          <xsd:maxLength value="255"/>
        </xsd:restriction>
      </xsd:simpleType>
    </xsd:element>
    <xsd:element name="TaxCatchAll" ma:index="14" nillable="true" ma:displayName="Taxonomy Catch All Column" ma:hidden="true" ma:list="{abbafe99-2d83-47b2-a5a7-431ac73099e1}" ma:internalName="TaxCatchAll" ma:showField="CatchAllData" ma:web="02065bdc-37a8-4a61-82f4-6015e75944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02065bdc-37a8-4a61-82f4-6015e759441b" xsi:nil="true"/>
    <lcf76f155ced4ddcb4097134ff3c332f xmlns="9f8770c1-6b6f-46d4-9d11-1acb2d2c4b9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DA261B8-A8EE-4F8D-BA52-34FAAE00EC67}">
  <ds:schemaRefs>
    <ds:schemaRef ds:uri="http://schemas.microsoft.com/sharepoint/v3/contenttype/forms"/>
  </ds:schemaRefs>
</ds:datastoreItem>
</file>

<file path=customXml/itemProps2.xml><?xml version="1.0" encoding="utf-8"?>
<ds:datastoreItem xmlns:ds="http://schemas.openxmlformats.org/officeDocument/2006/customXml" ds:itemID="{475472B6-DD17-428A-9114-F9DC5579CA3C}">
  <ds:schemaRefs>
    <ds:schemaRef ds:uri="http://schemas.openxmlformats.org/officeDocument/2006/bibliography"/>
  </ds:schemaRefs>
</ds:datastoreItem>
</file>

<file path=customXml/itemProps3.xml><?xml version="1.0" encoding="utf-8"?>
<ds:datastoreItem xmlns:ds="http://schemas.openxmlformats.org/officeDocument/2006/customXml" ds:itemID="{222CC0A3-8D2F-4A86-9C5B-36E693A054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8770c1-6b6f-46d4-9d11-1acb2d2c4b96"/>
    <ds:schemaRef ds:uri="02065bdc-37a8-4a61-82f4-6015e75944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593862-E0E5-4A0F-9F50-D1A15F9D1247}">
  <ds:schemaRefs>
    <ds:schemaRef ds:uri="http://schemas.microsoft.com/office/2006/metadata/properties"/>
    <ds:schemaRef ds:uri="http://schemas.microsoft.com/office/infopath/2007/PartnerControls"/>
    <ds:schemaRef ds:uri="02065bdc-37a8-4a61-82f4-6015e759441b"/>
    <ds:schemaRef ds:uri="9f8770c1-6b6f-46d4-9d11-1acb2d2c4b96"/>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Application>LibreOffice/6.2.5.2$Windows_X86_64 LibreOffice_project/1ec314fa52f458adc18c4f025c545a4e8b22c159</Application>
  <Pages>90</Pages>
  <Words>9730</Words>
  <Characters>65200</Characters>
  <CharactersWithSpaces>73821</CharactersWithSpaces>
  <Paragraphs>1195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2025-10-17T13:24:00Z</dcterms:created>
  <dc:creator/>
  <dc:description/>
  <dc:language>uk-UA</dc:language>
  <cp:lastModifiedBy/>
  <dcterms:modified xsi:type="dcterms:W3CDTF">2026-04-23T14:48:14Z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ntentTypeId">
    <vt:lpwstr>0x0101008FC05E792CA8A24D988BEB648944A1FD</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